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F4E79"/>
          <w:sz w:val="36"/>
        </w:rPr>
        <w:t>Rise Together: Pathways for Newcomer Women</w:t>
      </w:r>
    </w:p>
    <w:p>
      <w:r>
        <w:rPr>
          <w:rFonts w:ascii="Arial" w:hAnsi="Arial"/>
          <w:color w:val="595959"/>
          <w:sz w:val="22"/>
        </w:rPr>
        <w:t>Program Modules &amp; Sessions — Sahan Heritage Foundation, Calgary</w:t>
      </w:r>
    </w:p>
    <w:p>
      <w:pPr>
        <w:spacing w:after="120"/>
      </w:pPr>
      <w:r>
        <w:rPr>
          <w:rFonts w:ascii="Arial" w:hAnsi="Arial"/>
          <w:i/>
          <w:color w:val="595959"/>
          <w:sz w:val="19"/>
        </w:rPr>
        <w:t>Per cohort: 15 women · 12 weekly Saturdays · 60 contact hours. Mornings build job-readiness skills; afternoons build English and mentorship.</w:t>
      </w:r>
    </w:p>
    <w:p>
      <w:pPr>
        <w:spacing w:before="200" w:after="80"/>
      </w:pPr>
      <w:r>
        <w:rPr>
          <w:rFonts w:ascii="Arial" w:hAnsi="Arial"/>
          <w:b/>
          <w:color w:val="1F4E79"/>
          <w:sz w:val="26"/>
        </w:rPr>
        <w:t>Morning sessions — Job Readiness (what each woman does, and why)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736"/>
            <w:shd w:val="clear" w:fill="1F4E79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Module (the job)</w:t>
            </w:r>
          </w:p>
        </w:tc>
        <w:tc>
          <w:tcPr>
            <w:tcW w:type="dxa" w:w="4464"/>
            <w:shd w:val="clear" w:fill="1F4E79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Why it matters</w:t>
            </w:r>
          </w:p>
        </w:tc>
        <w:tc>
          <w:tcPr>
            <w:tcW w:type="dxa" w:w="1152"/>
            <w:shd w:val="clear" w:fill="1F4E79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Sessions</w:t>
            </w:r>
          </w:p>
        </w:tc>
        <w:tc>
          <w:tcPr>
            <w:tcW w:type="dxa" w:w="1296"/>
            <w:shd w:val="clear" w:fill="1F4E79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Women</w:t>
            </w:r>
          </w:p>
        </w:tc>
      </w:tr>
      <w:tr>
        <w:tc>
          <w:tcPr>
            <w:tcW w:type="dxa" w:w="2736"/>
          </w:tcPr>
          <w:p>
            <w:r>
              <w:rPr>
                <w:rFonts w:ascii="Arial" w:hAnsi="Arial"/>
                <w:sz w:val="19"/>
              </w:rPr>
              <w:t>Self-assessment &amp; transferable skills</w:t>
            </w:r>
          </w:p>
        </w:tc>
        <w:tc>
          <w:tcPr>
            <w:tcW w:type="dxa" w:w="4464"/>
          </w:tcPr>
          <w:p>
            <w:r>
              <w:rPr>
                <w:rFonts w:ascii="Arial" w:hAnsi="Arial"/>
                <w:sz w:val="19"/>
              </w:rPr>
              <w:t>Surfaces skills she already has and builds the confidence to start a job search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15</w:t>
            </w:r>
          </w:p>
        </w:tc>
      </w:tr>
      <w:tr>
        <w:tc>
          <w:tcPr>
            <w:tcW w:type="dxa" w:w="2736"/>
          </w:tcPr>
          <w:p>
            <w:r>
              <w:rPr>
                <w:rFonts w:ascii="Arial" w:hAnsi="Arial"/>
                <w:sz w:val="19"/>
              </w:rPr>
              <w:t>Creating a resume</w:t>
            </w:r>
          </w:p>
        </w:tc>
        <w:tc>
          <w:tcPr>
            <w:tcW w:type="dxa" w:w="4464"/>
          </w:tcPr>
          <w:p>
            <w:r>
              <w:rPr>
                <w:rFonts w:ascii="Arial" w:hAnsi="Arial"/>
                <w:sz w:val="19"/>
              </w:rPr>
              <w:t>Produces a Canadian-style, ESL-adapted resume — the document needed to apply for any job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15</w:t>
            </w:r>
          </w:p>
        </w:tc>
      </w:tr>
      <w:tr>
        <w:tc>
          <w:tcPr>
            <w:tcW w:type="dxa" w:w="2736"/>
          </w:tcPr>
          <w:p>
            <w:r>
              <w:rPr>
                <w:rFonts w:ascii="Arial" w:hAnsi="Arial"/>
                <w:sz w:val="19"/>
              </w:rPr>
              <w:t>Cover letters &amp; online applications</w:t>
            </w:r>
          </w:p>
        </w:tc>
        <w:tc>
          <w:tcPr>
            <w:tcW w:type="dxa" w:w="4464"/>
          </w:tcPr>
          <w:p>
            <w:r>
              <w:rPr>
                <w:rFonts w:ascii="Arial" w:hAnsi="Arial"/>
                <w:sz w:val="19"/>
              </w:rPr>
              <w:t>Teaches how jobs are actually applied for here: job boards, online forms, cover letters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15</w:t>
            </w:r>
          </w:p>
        </w:tc>
      </w:tr>
      <w:tr>
        <w:tc>
          <w:tcPr>
            <w:tcW w:type="dxa" w:w="2736"/>
          </w:tcPr>
          <w:p>
            <w:r>
              <w:rPr>
                <w:rFonts w:ascii="Arial" w:hAnsi="Arial"/>
                <w:sz w:val="19"/>
              </w:rPr>
              <w:t>Interview preparation &amp; mock interviews</w:t>
            </w:r>
          </w:p>
        </w:tc>
        <w:tc>
          <w:tcPr>
            <w:tcW w:type="dxa" w:w="4464"/>
          </w:tcPr>
          <w:p>
            <w:r>
              <w:rPr>
                <w:rFonts w:ascii="Arial" w:hAnsi="Arial"/>
                <w:sz w:val="19"/>
              </w:rPr>
              <w:t>Practice and feedback reduce anxiety and turn applications into offers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15</w:t>
            </w:r>
          </w:p>
        </w:tc>
      </w:tr>
      <w:tr>
        <w:tc>
          <w:tcPr>
            <w:tcW w:type="dxa" w:w="2736"/>
          </w:tcPr>
          <w:p>
            <w:r>
              <w:rPr>
                <w:rFonts w:ascii="Arial" w:hAnsi="Arial"/>
                <w:sz w:val="19"/>
              </w:rPr>
              <w:t>Workplace communication</w:t>
            </w:r>
          </w:p>
        </w:tc>
        <w:tc>
          <w:tcPr>
            <w:tcW w:type="dxa" w:w="4464"/>
          </w:tcPr>
          <w:p>
            <w:r>
              <w:rPr>
                <w:rFonts w:ascii="Arial" w:hAnsi="Arial"/>
                <w:sz w:val="19"/>
              </w:rPr>
              <w:t>Phone, professional email, and workplace norms so she can start and keep a job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15</w:t>
            </w:r>
          </w:p>
        </w:tc>
      </w:tr>
      <w:tr>
        <w:tc>
          <w:tcPr>
            <w:tcW w:type="dxa" w:w="2736"/>
          </w:tcPr>
          <w:p>
            <w:r>
              <w:rPr>
                <w:rFonts w:ascii="Arial" w:hAnsi="Arial"/>
                <w:sz w:val="19"/>
              </w:rPr>
              <w:t>Networking &amp; next-steps plan</w:t>
            </w:r>
          </w:p>
        </w:tc>
        <w:tc>
          <w:tcPr>
            <w:tcW w:type="dxa" w:w="4464"/>
          </w:tcPr>
          <w:p>
            <w:r>
              <w:rPr>
                <w:rFonts w:ascii="Arial" w:hAnsi="Arial"/>
                <w:sz w:val="19"/>
              </w:rPr>
              <w:t>Builds contacts, matches a mentor, and sets her action plan after the program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15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color w:val="1F4E79"/>
          <w:sz w:val="26"/>
        </w:rPr>
        <w:t>Afternoon sessions — English &amp; Mentorship (every week)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736"/>
            <w:shd w:val="clear" w:fill="1F4E79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Activity</w:t>
            </w:r>
          </w:p>
        </w:tc>
        <w:tc>
          <w:tcPr>
            <w:tcW w:type="dxa" w:w="4464"/>
            <w:shd w:val="clear" w:fill="1F4E79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Why it matters</w:t>
            </w:r>
          </w:p>
        </w:tc>
        <w:tc>
          <w:tcPr>
            <w:tcW w:type="dxa" w:w="1152"/>
            <w:shd w:val="clear" w:fill="1F4E79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Sessions</w:t>
            </w:r>
          </w:p>
        </w:tc>
        <w:tc>
          <w:tcPr>
            <w:tcW w:type="dxa" w:w="1296"/>
            <w:shd w:val="clear" w:fill="1F4E79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Women</w:t>
            </w:r>
          </w:p>
        </w:tc>
      </w:tr>
      <w:tr>
        <w:tc>
          <w:tcPr>
            <w:tcW w:type="dxa" w:w="2736"/>
          </w:tcPr>
          <w:p>
            <w:r>
              <w:rPr>
                <w:rFonts w:ascii="Arial" w:hAnsi="Arial"/>
                <w:sz w:val="19"/>
              </w:rPr>
              <w:t>Conversational / workplace English</w:t>
            </w:r>
          </w:p>
        </w:tc>
        <w:tc>
          <w:tcPr>
            <w:tcW w:type="dxa" w:w="4464"/>
          </w:tcPr>
          <w:p>
            <w:r>
              <w:rPr>
                <w:rFonts w:ascii="Arial" w:hAnsi="Arial"/>
                <w:sz w:val="19"/>
              </w:rPr>
              <w:t>Builds the practical English each week's job topic requires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12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15</w:t>
            </w:r>
          </w:p>
        </w:tc>
      </w:tr>
      <w:tr>
        <w:tc>
          <w:tcPr>
            <w:tcW w:type="dxa" w:w="2736"/>
          </w:tcPr>
          <w:p>
            <w:r>
              <w:rPr>
                <w:rFonts w:ascii="Arial" w:hAnsi="Arial"/>
                <w:sz w:val="19"/>
              </w:rPr>
              <w:t>Mentor circles</w:t>
            </w:r>
          </w:p>
        </w:tc>
        <w:tc>
          <w:tcPr>
            <w:tcW w:type="dxa" w:w="4464"/>
          </w:tcPr>
          <w:p>
            <w:r>
              <w:rPr>
                <w:rFonts w:ascii="Arial" w:hAnsi="Arial"/>
                <w:sz w:val="19"/>
              </w:rPr>
              <w:t>Small-group guidance and role models who have walked the same path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12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3–4 per mentor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color w:val="1F4E79"/>
          <w:sz w:val="26"/>
        </w:rPr>
        <w:t>Added supports &amp; milestones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736"/>
            <w:shd w:val="clear" w:fill="1F4E79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Activity</w:t>
            </w:r>
          </w:p>
        </w:tc>
        <w:tc>
          <w:tcPr>
            <w:tcW w:type="dxa" w:w="4464"/>
            <w:shd w:val="clear" w:fill="1F4E79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Why it matters</w:t>
            </w:r>
          </w:p>
        </w:tc>
        <w:tc>
          <w:tcPr>
            <w:tcW w:type="dxa" w:w="1152"/>
            <w:shd w:val="clear" w:fill="1F4E79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Sessions</w:t>
            </w:r>
          </w:p>
        </w:tc>
        <w:tc>
          <w:tcPr>
            <w:tcW w:type="dxa" w:w="1296"/>
            <w:shd w:val="clear" w:fill="1F4E79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Women</w:t>
            </w:r>
          </w:p>
        </w:tc>
      </w:tr>
      <w:tr>
        <w:tc>
          <w:tcPr>
            <w:tcW w:type="dxa" w:w="2736"/>
          </w:tcPr>
          <w:p>
            <w:r>
              <w:rPr>
                <w:rFonts w:ascii="Arial" w:hAnsi="Arial"/>
                <w:sz w:val="19"/>
              </w:rPr>
              <w:t>1:1 employment coaching</w:t>
            </w:r>
          </w:p>
        </w:tc>
        <w:tc>
          <w:tcPr>
            <w:tcW w:type="dxa" w:w="4464"/>
          </w:tcPr>
          <w:p>
            <w:r>
              <w:rPr>
                <w:rFonts w:ascii="Arial" w:hAnsi="Arial"/>
                <w:sz w:val="19"/>
              </w:rPr>
              <w:t>Individual help tailoring each resume and preparing for real interviews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Ongoing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Individual</w:t>
            </w:r>
          </w:p>
        </w:tc>
      </w:tr>
      <w:tr>
        <w:tc>
          <w:tcPr>
            <w:tcW w:type="dxa" w:w="2736"/>
          </w:tcPr>
          <w:p>
            <w:r>
              <w:rPr>
                <w:rFonts w:ascii="Arial" w:hAnsi="Arial"/>
                <w:sz w:val="19"/>
              </w:rPr>
              <w:t>Digital literacy (laptops)</w:t>
            </w:r>
          </w:p>
        </w:tc>
        <w:tc>
          <w:tcPr>
            <w:tcW w:type="dxa" w:w="4464"/>
          </w:tcPr>
          <w:p>
            <w:r>
              <w:rPr>
                <w:rFonts w:ascii="Arial" w:hAnsi="Arial"/>
                <w:sz w:val="19"/>
              </w:rPr>
              <w:t>Hands-on practice with online applications and email, often for the first time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Woven in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15 (shared)</w:t>
            </w:r>
          </w:p>
        </w:tc>
      </w:tr>
      <w:tr>
        <w:tc>
          <w:tcPr>
            <w:tcW w:type="dxa" w:w="2736"/>
          </w:tcPr>
          <w:p>
            <w:r>
              <w:rPr>
                <w:rFonts w:ascii="Arial" w:hAnsi="Arial"/>
                <w:sz w:val="19"/>
              </w:rPr>
              <w:t>Bridges cross-community event</w:t>
            </w:r>
          </w:p>
        </w:tc>
        <w:tc>
          <w:tcPr>
            <w:tcW w:type="dxa" w:w="4464"/>
          </w:tcPr>
          <w:p>
            <w:r>
              <w:rPr>
                <w:rFonts w:ascii="Arial" w:hAnsi="Arial"/>
                <w:sz w:val="19"/>
              </w:rPr>
              <w:t>Builds social inclusion and anti-racism; expands her network beyond her community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15 + 5–8 guests</w:t>
            </w:r>
          </w:p>
        </w:tc>
      </w:tr>
      <w:tr>
        <w:tc>
          <w:tcPr>
            <w:tcW w:type="dxa" w:w="2736"/>
          </w:tcPr>
          <w:p>
            <w:r>
              <w:rPr>
                <w:rFonts w:ascii="Arial" w:hAnsi="Arial"/>
                <w:sz w:val="19"/>
              </w:rPr>
              <w:t>Graduation (Week 12)</w:t>
            </w:r>
          </w:p>
        </w:tc>
        <w:tc>
          <w:tcPr>
            <w:tcW w:type="dxa" w:w="4464"/>
          </w:tcPr>
          <w:p>
            <w:r>
              <w:rPr>
                <w:rFonts w:ascii="Arial" w:hAnsi="Arial"/>
                <w:sz w:val="19"/>
              </w:rPr>
              <w:t>Recognizes completion and reinforces community and momentum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15 + families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color w:val="1F4E79"/>
          <w:sz w:val="26"/>
        </w:rPr>
        <w:t>On-site childcare (runs all day, every session)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736"/>
            <w:shd w:val="clear" w:fill="1F4E79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Activity</w:t>
            </w:r>
          </w:p>
        </w:tc>
        <w:tc>
          <w:tcPr>
            <w:tcW w:type="dxa" w:w="4464"/>
            <w:shd w:val="clear" w:fill="1F4E79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Why it matters</w:t>
            </w:r>
          </w:p>
        </w:tc>
        <w:tc>
          <w:tcPr>
            <w:tcW w:type="dxa" w:w="1152"/>
            <w:shd w:val="clear" w:fill="1F4E79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Sessions</w:t>
            </w:r>
          </w:p>
        </w:tc>
        <w:tc>
          <w:tcPr>
            <w:tcW w:type="dxa" w:w="1296"/>
            <w:shd w:val="clear" w:fill="1F4E79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Children</w:t>
            </w:r>
          </w:p>
        </w:tc>
      </w:tr>
      <w:tr>
        <w:tc>
          <w:tcPr>
            <w:tcW w:type="dxa" w:w="2736"/>
          </w:tcPr>
          <w:p>
            <w:r>
              <w:rPr>
                <w:rFonts w:ascii="Arial" w:hAnsi="Arial"/>
                <w:sz w:val="19"/>
              </w:rPr>
              <w:t>Registered childcare</w:t>
            </w:r>
          </w:p>
        </w:tc>
        <w:tc>
          <w:tcPr>
            <w:tcW w:type="dxa" w:w="4464"/>
          </w:tcPr>
          <w:p>
            <w:r>
              <w:rPr>
                <w:rFonts w:ascii="Arial" w:hAnsi="Arial"/>
                <w:sz w:val="19"/>
              </w:rPr>
              <w:t>Removes the #1 barrier — without it, single mothers cannot attend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12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15–25</w:t>
            </w:r>
          </w:p>
        </w:tc>
      </w:tr>
    </w:tbl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