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Fair Market Value Documentation — Donated Venue</w:t>
      </w:r>
    </w:p>
    <w:p>
      <w:r>
        <w:rPr>
          <w:b w:val="0"/>
          <w:i/>
          <w:color w:val="555555"/>
        </w:rPr>
        <w:t>Rise Together: Pathways for Newcomer Women · Sahan Heritage Foundation · CIP Project Grant application (August 15, 2026 intake)</w:t>
      </w:r>
    </w:p>
    <w:p>
      <w:pPr>
        <w:pStyle w:val="Heading2"/>
      </w:pPr>
      <w:r>
        <w:t>1. Donated facility</w:t>
      </w:r>
    </w:p>
    <w:tbl>
      <w:tblPr>
        <w:tblStyle w:val="TableGrid"/>
        <w:tblW w:type="auto" w:w="0"/>
        <w:jc w:val="left"/>
        <w:tblLook w:firstColumn="1" w:firstRow="1" w:lastColumn="0" w:lastRow="0" w:noHBand="0" w:noVBand="1" w:val="04A0"/>
      </w:tblPr>
      <w:tblGrid>
        <w:gridCol w:w="4680"/>
        <w:gridCol w:w="4680"/>
      </w:tblGrid>
      <w:tr>
        <w:tc>
          <w:tcPr>
            <w:tcW w:type="dxa" w:w="3168"/>
            <w:shd w:val="clear" w:fill="EFEFEF"/>
          </w:tcPr>
          <w:p>
            <w:r>
              <w:rPr>
                <w:b/>
              </w:rPr>
              <w:t>Venue</w:t>
            </w:r>
          </w:p>
        </w:tc>
        <w:tc>
          <w:tcPr>
            <w:tcW w:type="dxa" w:w="6192"/>
          </w:tcPr>
          <w:p>
            <w:r>
              <w:t>Somali Canadian Society of Calgary (SCSC) community hall</w:t>
            </w:r>
          </w:p>
        </w:tc>
      </w:tr>
      <w:tr>
        <w:tc>
          <w:tcPr>
            <w:tcW w:type="dxa" w:w="3168"/>
            <w:shd w:val="clear" w:fill="EFEFEF"/>
          </w:tcPr>
          <w:p>
            <w:r>
              <w:rPr>
                <w:b/>
              </w:rPr>
              <w:t>Address</w:t>
            </w:r>
          </w:p>
        </w:tc>
        <w:tc>
          <w:tcPr>
            <w:tcW w:type="dxa" w:w="6192"/>
          </w:tcPr>
          <w:p>
            <w:r>
              <w:t>3940 29 Street NE, Calgary, AB T1Y 6B6</w:t>
            </w:r>
          </w:p>
        </w:tc>
      </w:tr>
      <w:tr>
        <w:tc>
          <w:tcPr>
            <w:tcW w:type="dxa" w:w="3168"/>
            <w:shd w:val="clear" w:fill="EFEFEF"/>
          </w:tcPr>
          <w:p>
            <w:r>
              <w:rPr>
                <w:b/>
              </w:rPr>
              <w:t>Donor</w:t>
            </w:r>
          </w:p>
        </w:tc>
        <w:tc>
          <w:tcPr>
            <w:tcW w:type="dxa" w:w="6192"/>
          </w:tcPr>
          <w:p>
            <w:r>
              <w:t>Somali Canadian Society of Calgary — registered charity 896568417RR0001; titleholder and operator of the venue</w:t>
            </w:r>
          </w:p>
        </w:tc>
      </w:tr>
      <w:tr>
        <w:tc>
          <w:tcPr>
            <w:tcW w:type="dxa" w:w="3168"/>
            <w:shd w:val="clear" w:fill="EFEFEF"/>
          </w:tcPr>
          <w:p>
            <w:r>
              <w:rPr>
                <w:b/>
              </w:rPr>
              <w:t>Donation letter</w:t>
            </w:r>
          </w:p>
        </w:tc>
        <w:tc>
          <w:tcPr>
            <w:tcW w:type="dxa" w:w="6192"/>
          </w:tcPr>
          <w:p>
            <w:r>
              <w:t>Signed letter on SCSC letterhead dated July 2, 2026 (Ref: 2026-B21), confirming use of the hall free of charge for the duration of the program</w:t>
            </w:r>
          </w:p>
        </w:tc>
      </w:tr>
      <w:tr>
        <w:tc>
          <w:tcPr>
            <w:tcW w:type="dxa" w:w="3168"/>
            <w:shd w:val="clear" w:fill="EFEFEF"/>
          </w:tcPr>
          <w:p>
            <w:r>
              <w:rPr>
                <w:b/>
              </w:rPr>
              <w:t>Spaces provided</w:t>
            </w:r>
          </w:p>
        </w:tc>
        <w:tc>
          <w:tcPr>
            <w:tcW w:type="dxa" w:w="6192"/>
          </w:tcPr>
          <w:p>
            <w:r>
              <w:t>Main program room (job-readiness and English sessions) plus a separate room for registered on-site childcare, with full-day access including setup and clean-up</w:t>
            </w:r>
          </w:p>
        </w:tc>
      </w:tr>
    </w:tbl>
    <w:p>
      <w:pPr>
        <w:pStyle w:val="Heading2"/>
      </w:pPr>
      <w:r>
        <w:t>2. Program usage</w:t>
      </w:r>
    </w:p>
    <w:p>
      <w:pPr>
        <w:pStyle w:val="ListBullet"/>
      </w:pPr>
      <w:r>
        <w:t>12 program Saturdays (one cohort, 12 weeks).</w:t>
      </w:r>
    </w:p>
    <w:p>
      <w:pPr>
        <w:pStyle w:val="ListBullet"/>
      </w:pPr>
      <w:r>
        <w:t>Full program day: approximately 9:30 am to 4:30 pm including setup and clean-up (about 7 hours per day).</w:t>
      </w:r>
    </w:p>
    <w:p>
      <w:pPr>
        <w:pStyle w:val="ListBullet"/>
      </w:pPr>
      <w:r>
        <w:t>Two rooms each Saturday: main hall plus dedicated childcare room.</w:t>
      </w:r>
    </w:p>
    <w:p>
      <w:pPr>
        <w:pStyle w:val="Heading2"/>
      </w:pPr>
      <w:r>
        <w:t>3. Valuation</w:t>
      </w:r>
    </w:p>
    <w:p>
      <w:r>
        <w:rPr>
          <w:b w:val="0"/>
          <w:i w:val="0"/>
        </w:rPr>
        <w:t>The donated space is valued at fair market value, consistent with how facility rental would otherwise appear as a cash expense:</w:t>
      </w:r>
    </w:p>
    <w:tbl>
      <w:tblPr>
        <w:tblStyle w:val="TableGrid"/>
        <w:tblW w:type="auto" w:w="0"/>
        <w:jc w:val="left"/>
        <w:tblLook w:firstColumn="1" w:firstRow="1" w:lastColumn="0" w:lastRow="0" w:noHBand="0" w:noVBand="1" w:val="04A0"/>
      </w:tblPr>
      <w:tblGrid>
        <w:gridCol w:w="3120"/>
        <w:gridCol w:w="3120"/>
        <w:gridCol w:w="3120"/>
      </w:tblGrid>
      <w:tr>
        <w:tc>
          <w:tcPr>
            <w:tcW w:type="dxa" w:w="4176"/>
            <w:shd w:val="clear" w:fill="D5E8F0"/>
          </w:tcPr>
          <w:p>
            <w:r>
              <w:rPr>
                <w:b/>
              </w:rPr>
              <w:t>Item</w:t>
            </w:r>
          </w:p>
        </w:tc>
        <w:tc>
          <w:tcPr>
            <w:tcW w:type="dxa" w:w="3168"/>
            <w:shd w:val="clear" w:fill="D5E8F0"/>
          </w:tcPr>
          <w:p>
            <w:r>
              <w:rPr>
                <w:b/>
              </w:rPr>
              <w:t>Basis</w:t>
            </w:r>
          </w:p>
        </w:tc>
        <w:tc>
          <w:tcPr>
            <w:tcW w:type="dxa" w:w="2016"/>
            <w:shd w:val="clear" w:fill="D5E8F0"/>
          </w:tcPr>
          <w:p>
            <w:r>
              <w:rPr>
                <w:b/>
              </w:rPr>
              <w:t>Amount</w:t>
            </w:r>
          </w:p>
        </w:tc>
      </w:tr>
      <w:tr>
        <w:tc>
          <w:tcPr>
            <w:tcW w:type="dxa" w:w="4176"/>
          </w:tcPr>
          <w:p>
            <w:r>
              <w:t>Main hall + childcare room, full day</w:t>
            </w:r>
          </w:p>
        </w:tc>
        <w:tc>
          <w:tcPr>
            <w:tcW w:type="dxa" w:w="3168"/>
          </w:tcPr>
          <w:p>
            <w:r>
              <w:t>$750 per program day</w:t>
            </w:r>
          </w:p>
        </w:tc>
        <w:tc>
          <w:tcPr>
            <w:tcW w:type="dxa" w:w="2016"/>
          </w:tcPr>
          <w:p>
            <w:r>
              <w:t>$750</w:t>
            </w:r>
          </w:p>
        </w:tc>
      </w:tr>
      <w:tr>
        <w:tc>
          <w:tcPr>
            <w:tcW w:type="dxa" w:w="4176"/>
          </w:tcPr>
          <w:p>
            <w:r>
              <w:t>Program days</w:t>
            </w:r>
          </w:p>
        </w:tc>
        <w:tc>
          <w:tcPr>
            <w:tcW w:type="dxa" w:w="3168"/>
          </w:tcPr>
          <w:p>
            <w:r>
              <w:t>12 Saturdays</w:t>
            </w:r>
          </w:p>
        </w:tc>
        <w:tc>
          <w:tcPr>
            <w:tcW w:type="dxa" w:w="2016"/>
          </w:tcPr>
          <w:p>
            <w:r>
              <w:t>× 12</w:t>
            </w:r>
          </w:p>
        </w:tc>
      </w:tr>
      <w:tr>
        <w:tc>
          <w:tcPr>
            <w:tcW w:type="dxa" w:w="4176"/>
          </w:tcPr>
          <w:p>
            <w:r>
              <w:t>Total in-kind value</w:t>
            </w:r>
          </w:p>
        </w:tc>
        <w:tc>
          <w:tcPr>
            <w:tcW w:type="dxa" w:w="3168"/>
          </w:tcPr>
          <w:p>
            <w:r/>
          </w:p>
        </w:tc>
        <w:tc>
          <w:tcPr>
            <w:tcW w:type="dxa" w:w="2016"/>
          </w:tcPr>
          <w:p>
            <w:r>
              <w:t>$9,000</w:t>
            </w:r>
          </w:p>
        </w:tc>
      </w:tr>
    </w:tbl>
    <w:p>
      <w:r>
        <w:rPr>
          <w:b w:val="0"/>
          <w:i w:val="0"/>
        </w:rPr>
      </w:r>
    </w:p>
    <w:p>
      <w:r>
        <w:rPr>
          <w:b w:val="0"/>
          <w:i w:val="0"/>
        </w:rPr>
        <w:t>This works out to roughly $107 per hour for two rooms, or about $54 per room-hour.</w:t>
      </w:r>
    </w:p>
    <w:p>
      <w:pPr>
        <w:pStyle w:val="Heading2"/>
      </w:pPr>
      <w:r>
        <w:t>4. Market comparables (Calgary, 2026)</w:t>
      </w:r>
    </w:p>
    <w:tbl>
      <w:tblPr>
        <w:tblStyle w:val="TableGrid"/>
        <w:tblW w:type="auto" w:w="0"/>
        <w:jc w:val="left"/>
        <w:tblLook w:firstColumn="1" w:firstRow="1" w:lastColumn="0" w:lastRow="0" w:noHBand="0" w:noVBand="1" w:val="04A0"/>
      </w:tblPr>
      <w:tblGrid>
        <w:gridCol w:w="3120"/>
        <w:gridCol w:w="3120"/>
        <w:gridCol w:w="3120"/>
      </w:tblGrid>
      <w:tr>
        <w:tc>
          <w:tcPr>
            <w:tcW w:type="dxa" w:w="3456"/>
            <w:shd w:val="clear" w:fill="D5E8F0"/>
          </w:tcPr>
          <w:p>
            <w:r>
              <w:rPr>
                <w:b/>
              </w:rPr>
              <w:t>Comparable venue</w:t>
            </w:r>
          </w:p>
        </w:tc>
        <w:tc>
          <w:tcPr>
            <w:tcW w:type="dxa" w:w="3168"/>
            <w:shd w:val="clear" w:fill="D5E8F0"/>
          </w:tcPr>
          <w:p>
            <w:r>
              <w:rPr>
                <w:b/>
              </w:rPr>
              <w:t>Published rate</w:t>
            </w:r>
          </w:p>
        </w:tc>
        <w:tc>
          <w:tcPr>
            <w:tcW w:type="dxa" w:w="2736"/>
            <w:shd w:val="clear" w:fill="D5E8F0"/>
          </w:tcPr>
          <w:p>
            <w:r>
              <w:rPr>
                <w:b/>
              </w:rPr>
              <w:t>Equivalent for this program’s usage</w:t>
            </w:r>
          </w:p>
        </w:tc>
      </w:tr>
      <w:tr>
        <w:tc>
          <w:tcPr>
            <w:tcW w:type="dxa" w:w="3456"/>
          </w:tcPr>
          <w:p>
            <w:r>
              <w:t>Pineridge Community Association (NE Calgary) — main hall, capacity 225</w:t>
            </w:r>
          </w:p>
        </w:tc>
        <w:tc>
          <w:tcPr>
            <w:tcW w:type="dxa" w:w="3168"/>
          </w:tcPr>
          <w:p>
            <w:r>
              <w:t>$650 full day (up to 10 hours; rates effective March 1, 2026)</w:t>
            </w:r>
          </w:p>
        </w:tc>
        <w:tc>
          <w:tcPr>
            <w:tcW w:type="dxa" w:w="2736"/>
          </w:tcPr>
          <w:p>
            <w:r>
              <w:t>$650/day — one room only</w:t>
            </w:r>
          </w:p>
        </w:tc>
      </w:tr>
      <w:tr>
        <w:tc>
          <w:tcPr>
            <w:tcW w:type="dxa" w:w="3456"/>
          </w:tcPr>
          <w:p>
            <w:r>
              <w:t>Pineridge Community Association — secondary hall, capacity 100</w:t>
            </w:r>
          </w:p>
        </w:tc>
        <w:tc>
          <w:tcPr>
            <w:tcW w:type="dxa" w:w="3168"/>
          </w:tcPr>
          <w:p>
            <w:r>
              <w:t>$425 full day</w:t>
            </w:r>
          </w:p>
        </w:tc>
        <w:tc>
          <w:tcPr>
            <w:tcW w:type="dxa" w:w="2736"/>
          </w:tcPr>
          <w:p>
            <w:r>
              <w:t>Main + second room = $1,075/day</w:t>
            </w:r>
          </w:p>
        </w:tc>
      </w:tr>
      <w:tr>
        <w:tc>
          <w:tcPr>
            <w:tcW w:type="dxa" w:w="3456"/>
          </w:tcPr>
          <w:p>
            <w:r>
              <w:t>Whitehorn Community Association (NE Calgary) — main hall, capacity 185</w:t>
            </w:r>
          </w:p>
        </w:tc>
        <w:tc>
          <w:tcPr>
            <w:tcW w:type="dxa" w:w="3168"/>
          </w:tcPr>
          <w:p>
            <w:r>
              <w:t>$50 per hour (weekday hourly rate)</w:t>
            </w:r>
          </w:p>
        </w:tc>
        <w:tc>
          <w:tcPr>
            <w:tcW w:type="dxa" w:w="2736"/>
          </w:tcPr>
          <w:p>
            <w:r>
              <w:t>~$350/day for one room at 7 hours; two rooms would exceed $700/day</w:t>
            </w:r>
          </w:p>
        </w:tc>
      </w:tr>
    </w:tbl>
    <w:p>
      <w:r>
        <w:rPr>
          <w:b w:val="0"/>
          <w:i w:val="0"/>
        </w:rPr>
      </w:r>
    </w:p>
    <w:p>
      <w:r>
        <w:rPr>
          <w:b w:val="0"/>
          <w:i w:val="0"/>
        </w:rPr>
        <w:t>Sources: pineridgeyyc.ca/services/facilityrentals; whitehorncommunity.com/hall-rentals. Both are Northeast Calgary community halls comparable in size and character to the SCSC hall.</w:t>
      </w:r>
    </w:p>
    <w:p>
      <w:pPr>
        <w:pStyle w:val="Heading2"/>
      </w:pPr>
      <w:r>
        <w:t>5. Conclusion</w:t>
      </w:r>
    </w:p>
    <w:p>
      <w:r>
        <w:rPr>
          <w:b w:val="0"/>
          <w:i w:val="0"/>
        </w:rPr>
        <w:t>Comparable Northeast Calgary community facilities rent for $650 to $1,075 per full day for equivalent space. At $750 per day for two rooms with full-day access, the claimed value of $9,000 over 12 program days is at or below market rates and is therefore a conservative fair-market-value estimate.</w:t>
      </w:r>
    </w:p>
    <w:p>
      <w:r>
        <w:rPr>
          <w:b w:val="0"/>
          <w:i/>
        </w:rPr>
        <w:t>Note: the dollar value is documented here for the application budget only, and deliberately does not appear in the signed SCSC donation letter, per CIP guidance that donor letters confirm the donation while valuation is documented separately.</w:t>
      </w:r>
    </w:p>
    <w:p>
      <w:pPr>
        <w:pStyle w:val="Heading2"/>
      </w:pPr>
      <w:r>
        <w:t>6. Strengthening this documentation (optional)</w:t>
      </w:r>
    </w:p>
    <w:p>
      <w:pPr>
        <w:pStyle w:val="ListBullet"/>
      </w:pPr>
      <w:r>
        <w:t>Ask SCSC for its standard rental rate sheet, if one exists — the donor’s own published rate is the strongest FMV evidence.</w:t>
      </w:r>
    </w:p>
    <w:p>
      <w:pPr>
        <w:pStyle w:val="ListBullet"/>
      </w:pPr>
      <w:r>
        <w:t>Print/save the two comparable venues’ rate pages as PDFs and attach them to the application.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