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4E79"/>
          <w:sz w:val="40"/>
        </w:rPr>
        <w:t>Rise Together: Pathways for Newcomer Women</w:t>
      </w:r>
    </w:p>
    <w:p>
      <w:r>
        <w:rPr>
          <w:rFonts w:ascii="Arial" w:hAnsi="Arial"/>
          <w:color w:val="595959"/>
          <w:sz w:val="24"/>
        </w:rPr>
        <w:t>Sahan Heritage Foundation  ·  Calgary, Alberta</w:t>
      </w:r>
    </w:p>
    <w:p>
      <w:r>
        <w:rPr>
          <w:rFonts w:ascii="Arial" w:hAnsi="Arial"/>
          <w:i/>
          <w:color w:val="595959"/>
          <w:sz w:val="20"/>
        </w:rPr>
        <w:t>CIP Project Grant — Master Document: program, curriculum, budget &amp; tasks</w:t>
      </w:r>
    </w:p>
    <w:p>
      <w:pPr>
        <w:spacing w:before="240" w:after="80"/>
      </w:pPr>
      <w:r>
        <w:rPr>
          <w:rFonts w:ascii="Arial" w:hAnsi="Arial"/>
          <w:b/>
          <w:color w:val="1F4E79"/>
          <w:sz w:val="32"/>
        </w:rPr>
        <w:t>Project Snapshot</w:t>
      </w:r>
    </w:p>
    <w:tbl>
      <w:tblPr>
        <w:tblStyle w:val="TableGrid"/>
        <w:tblW w:type="auto" w:w="0"/>
        <w:tblLayout w:type="fixed"/>
        <w:tblLook w:firstColumn="1" w:firstRow="1" w:lastColumn="0" w:lastRow="0" w:noHBand="0" w:noVBand="1" w:val="04A0"/>
      </w:tblPr>
      <w:tblGrid>
        <w:gridCol w:w="4680"/>
        <w:gridCol w:w="4680"/>
      </w:tblGrid>
      <w:tr>
        <w:tc>
          <w:tcPr>
            <w:tcW w:type="dxa" w:w="3312"/>
            <w:shd w:val="clear" w:fill="EDEDED"/>
          </w:tcPr>
          <w:p>
            <w:r>
              <w:rPr>
                <w:rFonts w:ascii="Arial" w:hAnsi="Arial"/>
                <w:b/>
                <w:sz w:val="20"/>
              </w:rPr>
              <w:t>Applicant organization</w:t>
            </w:r>
          </w:p>
        </w:tc>
        <w:tc>
          <w:tcPr>
            <w:tcW w:type="dxa" w:w="6048"/>
          </w:tcPr>
          <w:p>
            <w:r>
              <w:rPr>
                <w:rFonts w:ascii="Arial" w:hAnsi="Arial"/>
                <w:sz w:val="20"/>
              </w:rPr>
              <w:t>Sahan Heritage Foundation</w:t>
            </w:r>
          </w:p>
        </w:tc>
      </w:tr>
      <w:tr>
        <w:tc>
          <w:tcPr>
            <w:tcW w:type="dxa" w:w="3312"/>
            <w:shd w:val="clear" w:fill="EDEDED"/>
          </w:tcPr>
          <w:p>
            <w:r>
              <w:rPr>
                <w:rFonts w:ascii="Arial" w:hAnsi="Arial"/>
                <w:b/>
                <w:sz w:val="20"/>
              </w:rPr>
              <w:t>Location</w:t>
            </w:r>
          </w:p>
        </w:tc>
        <w:tc>
          <w:tcPr>
            <w:tcW w:type="dxa" w:w="6048"/>
          </w:tcPr>
          <w:p>
            <w:r>
              <w:rPr>
                <w:rFonts w:ascii="Arial" w:hAnsi="Arial"/>
                <w:sz w:val="20"/>
              </w:rPr>
              <w:t>Calgary, Alberta</w:t>
            </w:r>
          </w:p>
        </w:tc>
      </w:tr>
      <w:tr>
        <w:tc>
          <w:tcPr>
            <w:tcW w:type="dxa" w:w="3312"/>
            <w:shd w:val="clear" w:fill="EDEDED"/>
          </w:tcPr>
          <w:p>
            <w:r>
              <w:rPr>
                <w:rFonts w:ascii="Arial" w:hAnsi="Arial"/>
                <w:b/>
                <w:sz w:val="20"/>
              </w:rPr>
              <w:t>Program</w:t>
            </w:r>
          </w:p>
        </w:tc>
        <w:tc>
          <w:tcPr>
            <w:tcW w:type="dxa" w:w="6048"/>
          </w:tcPr>
          <w:p>
            <w:r>
              <w:rPr>
                <w:rFonts w:ascii="Arial" w:hAnsi="Arial"/>
                <w:sz w:val="20"/>
              </w:rPr>
              <w:t>Rise Together: Pathways for Newcomer Women</w:t>
            </w:r>
          </w:p>
        </w:tc>
      </w:tr>
      <w:tr>
        <w:tc>
          <w:tcPr>
            <w:tcW w:type="dxa" w:w="3312"/>
            <w:shd w:val="clear" w:fill="EDEDED"/>
          </w:tcPr>
          <w:p>
            <w:r>
              <w:rPr>
                <w:rFonts w:ascii="Arial" w:hAnsi="Arial"/>
                <w:b/>
                <w:sz w:val="20"/>
              </w:rPr>
              <w:t>Model</w:t>
            </w:r>
          </w:p>
        </w:tc>
        <w:tc>
          <w:tcPr>
            <w:tcW w:type="dxa" w:w="6048"/>
          </w:tcPr>
          <w:p>
            <w:r>
              <w:rPr>
                <w:rFonts w:ascii="Arial" w:hAnsi="Arial"/>
                <w:sz w:val="20"/>
              </w:rPr>
              <w:t>1 cohort · 15 women · 12 weekly Saturdays (60 contact hours)</w:t>
            </w:r>
          </w:p>
        </w:tc>
      </w:tr>
      <w:tr>
        <w:tc>
          <w:tcPr>
            <w:tcW w:type="dxa" w:w="3312"/>
            <w:shd w:val="clear" w:fill="EDEDED"/>
          </w:tcPr>
          <w:p>
            <w:r>
              <w:rPr>
                <w:rFonts w:ascii="Arial" w:hAnsi="Arial"/>
                <w:b/>
                <w:sz w:val="20"/>
              </w:rPr>
              <w:t>Venue</w:t>
            </w:r>
          </w:p>
        </w:tc>
        <w:tc>
          <w:tcPr>
            <w:tcW w:type="dxa" w:w="6048"/>
          </w:tcPr>
          <w:p>
            <w:r>
              <w:rPr>
                <w:rFonts w:ascii="Arial" w:hAnsi="Arial"/>
                <w:sz w:val="20"/>
              </w:rPr>
              <w:t>Donated — Somali Canadian Society hall (in-kind, with letter)</w:t>
            </w:r>
          </w:p>
        </w:tc>
      </w:tr>
      <w:tr>
        <w:tc>
          <w:tcPr>
            <w:tcW w:type="dxa" w:w="3312"/>
            <w:shd w:val="clear" w:fill="EDEDED"/>
          </w:tcPr>
          <w:p>
            <w:r>
              <w:rPr>
                <w:rFonts w:ascii="Arial" w:hAnsi="Arial"/>
                <w:b/>
                <w:sz w:val="20"/>
              </w:rPr>
              <w:t>CIP request</w:t>
            </w:r>
          </w:p>
        </w:tc>
        <w:tc>
          <w:tcPr>
            <w:tcW w:type="dxa" w:w="6048"/>
          </w:tcPr>
          <w:p>
            <w:r>
              <w:rPr>
                <w:rFonts w:ascii="Arial" w:hAnsi="Arial"/>
                <w:sz w:val="20"/>
              </w:rPr>
              <w:t>$24,000</w:t>
            </w:r>
          </w:p>
        </w:tc>
      </w:tr>
      <w:tr>
        <w:tc>
          <w:tcPr>
            <w:tcW w:type="dxa" w:w="3312"/>
            <w:shd w:val="clear" w:fill="EDEDED"/>
          </w:tcPr>
          <w:p>
            <w:r>
              <w:rPr>
                <w:rFonts w:ascii="Arial" w:hAnsi="Arial"/>
                <w:b/>
                <w:sz w:val="20"/>
              </w:rPr>
              <w:t>Sahan cash committed</w:t>
            </w:r>
          </w:p>
        </w:tc>
        <w:tc>
          <w:tcPr>
            <w:tcW w:type="dxa" w:w="6048"/>
          </w:tcPr>
          <w:p>
            <w:r>
              <w:rPr>
                <w:rFonts w:ascii="Arial" w:hAnsi="Arial"/>
                <w:sz w:val="20"/>
              </w:rPr>
              <w:t>$11,000 — of $17,000 on hand ($6,000 reserve retained)</w:t>
            </w:r>
          </w:p>
        </w:tc>
      </w:tr>
      <w:tr>
        <w:tc>
          <w:tcPr>
            <w:tcW w:type="dxa" w:w="3312"/>
            <w:shd w:val="clear" w:fill="EDEDED"/>
          </w:tcPr>
          <w:p>
            <w:r>
              <w:rPr>
                <w:rFonts w:ascii="Arial" w:hAnsi="Arial"/>
                <w:b/>
                <w:sz w:val="20"/>
              </w:rPr>
              <w:t>Matching contribution</w:t>
            </w:r>
          </w:p>
        </w:tc>
        <w:tc>
          <w:tcPr>
            <w:tcW w:type="dxa" w:w="6048"/>
          </w:tcPr>
          <w:p>
            <w:r>
              <w:rPr>
                <w:rFonts w:ascii="Arial" w:hAnsi="Arial"/>
                <w:sz w:val="20"/>
              </w:rPr>
              <w:t>$26,960  (cash $11,000 + in-kind $15,960) = 112% of request</w:t>
            </w:r>
          </w:p>
        </w:tc>
      </w:tr>
      <w:tr>
        <w:tc>
          <w:tcPr>
            <w:tcW w:type="dxa" w:w="3312"/>
            <w:shd w:val="clear" w:fill="EDEDED"/>
          </w:tcPr>
          <w:p>
            <w:r>
              <w:rPr>
                <w:rFonts w:ascii="Arial" w:hAnsi="Arial"/>
                <w:b/>
                <w:sz w:val="20"/>
              </w:rPr>
              <w:t>Total project cost</w:t>
            </w:r>
          </w:p>
        </w:tc>
        <w:tc>
          <w:tcPr>
            <w:tcW w:type="dxa" w:w="6048"/>
          </w:tcPr>
          <w:p>
            <w:r>
              <w:rPr>
                <w:rFonts w:ascii="Arial" w:hAnsi="Arial"/>
                <w:sz w:val="20"/>
              </w:rPr>
              <w:t>$50,960  (CIP share 47.1%, under the 50% cap)</w:t>
            </w:r>
          </w:p>
        </w:tc>
      </w:tr>
      <w:tr>
        <w:tc>
          <w:tcPr>
            <w:tcW w:type="dxa" w:w="3312"/>
            <w:shd w:val="clear" w:fill="EDEDED"/>
          </w:tcPr>
          <w:p>
            <w:r>
              <w:rPr>
                <w:rFonts w:ascii="Arial" w:hAnsi="Arial"/>
                <w:b/>
                <w:sz w:val="20"/>
              </w:rPr>
              <w:t>Match composition</w:t>
            </w:r>
          </w:p>
        </w:tc>
        <w:tc>
          <w:tcPr>
            <w:tcW w:type="dxa" w:w="6048"/>
          </w:tcPr>
          <w:p>
            <w:r>
              <w:rPr>
                <w:rFonts w:ascii="Arial" w:hAnsi="Arial"/>
                <w:sz w:val="20"/>
              </w:rPr>
              <w:t>41% cash / 59% in-kind</w:t>
            </w:r>
          </w:p>
        </w:tc>
      </w:tr>
      <w:tr>
        <w:tc>
          <w:tcPr>
            <w:tcW w:type="dxa" w:w="3312"/>
            <w:shd w:val="clear" w:fill="EDEDED"/>
          </w:tcPr>
          <w:p>
            <w:r>
              <w:rPr>
                <w:rFonts w:ascii="Arial" w:hAnsi="Arial"/>
                <w:b/>
                <w:sz w:val="20"/>
              </w:rPr>
              <w:t>Direct beneficiaries</w:t>
            </w:r>
          </w:p>
        </w:tc>
        <w:tc>
          <w:tcPr>
            <w:tcW w:type="dxa" w:w="6048"/>
          </w:tcPr>
          <w:p>
            <w:r>
              <w:rPr>
                <w:rFonts w:ascii="Arial" w:hAnsi="Arial"/>
                <w:sz w:val="20"/>
              </w:rPr>
              <w:t>15 women + ~15–25 children + 4 mentors + 5–8 partner-community participants</w:t>
            </w:r>
          </w:p>
        </w:tc>
      </w:tr>
      <w:tr>
        <w:tc>
          <w:tcPr>
            <w:tcW w:type="dxa" w:w="3312"/>
            <w:shd w:val="clear" w:fill="EDEDED"/>
          </w:tcPr>
          <w:p>
            <w:r>
              <w:rPr>
                <w:rFonts w:ascii="Arial" w:hAnsi="Arial"/>
                <w:b/>
                <w:sz w:val="20"/>
              </w:rPr>
              <w:t>Delivery window</w:t>
            </w:r>
          </w:p>
        </w:tc>
        <w:tc>
          <w:tcPr>
            <w:tcW w:type="dxa" w:w="6048"/>
          </w:tcPr>
          <w:p>
            <w:r>
              <w:rPr>
                <w:rFonts w:ascii="Arial" w:hAnsi="Arial"/>
                <w:sz w:val="20"/>
              </w:rPr>
              <w:t>[Project start date] – [end date], within 18 months of grant payment</w:t>
            </w:r>
          </w:p>
        </w:tc>
      </w:tr>
    </w:tbl>
    <w:p>
      <w:pPr>
        <w:spacing w:before="240" w:after="80"/>
      </w:pPr>
      <w:r>
        <w:rPr>
          <w:rFonts w:ascii="Arial" w:hAnsi="Arial"/>
          <w:b/>
          <w:color w:val="1F4E79"/>
          <w:sz w:val="32"/>
        </w:rPr>
        <w:t>About the Applicant</w:t>
      </w:r>
    </w:p>
    <w:p>
      <w:pPr>
        <w:spacing w:after="120"/>
      </w:pPr>
      <w:r>
        <w:rPr>
          <w:rFonts w:ascii="Arial" w:hAnsi="Arial"/>
          <w:b w:val="0"/>
          <w:i w:val="0"/>
          <w:sz w:val="22"/>
        </w:rPr>
        <w:t>Sahan Heritage Foundation is a community-led non-profit serving East African and Black newcomer families in Calgary. Sahan is a sister society to Horn Youth Services Foundation (operating as KULAN) in Edmonton, which designed and delivered Rise Together for newcomer women.</w:t>
      </w:r>
    </w:p>
    <w:p>
      <w:pPr>
        <w:spacing w:after="120"/>
      </w:pPr>
      <w:r>
        <w:rPr>
          <w:rFonts w:ascii="Arial" w:hAnsi="Arial"/>
          <w:b w:val="0"/>
          <w:i w:val="0"/>
          <w:sz w:val="22"/>
        </w:rPr>
        <w:t>Building on KULAN's model and lessons learned, Sahan will deliver a single, strong Calgary cohort tailored to local participants, venues, and partners. The proposal is scoped to one well-resourced 12-week cohort and backed by a substantial cash co-investment from Sahan, signalling organizational commitment and capacity to deliver.</w:t>
      </w:r>
    </w:p>
    <w:p>
      <w:pPr>
        <w:spacing w:before="240" w:after="80"/>
      </w:pPr>
      <w:r>
        <w:rPr>
          <w:rFonts w:ascii="Arial" w:hAnsi="Arial"/>
          <w:b/>
          <w:color w:val="1F4E79"/>
          <w:sz w:val="32"/>
        </w:rPr>
        <w:t>Community Need</w:t>
      </w:r>
    </w:p>
    <w:p>
      <w:pPr>
        <w:spacing w:after="120"/>
      </w:pPr>
      <w:r>
        <w:rPr>
          <w:rFonts w:ascii="Arial" w:hAnsi="Arial"/>
          <w:b w:val="0"/>
          <w:i w:val="0"/>
          <w:sz w:val="22"/>
        </w:rPr>
        <w:t>Across Calgary's East African and Black communities, many newcomer women face overlapping barriers to economic participation: limited English fluency, no Canadian work history, and — most decisively — a lack of childcare that puts existing employment and settlement services out of reach. In many families, women carry full responsibility for the home and children without the extended-family support they relied on in their countries of origin. As a result, they miss the very programs designed to help them: language training, employment assistance, and job-readiness seminars.</w:t>
      </w:r>
    </w:p>
    <w:p>
      <w:pPr>
        <w:spacing w:after="120"/>
      </w:pPr>
      <w:r>
        <w:rPr>
          <w:rFonts w:ascii="Arial" w:hAnsi="Arial"/>
          <w:b w:val="0"/>
          <w:i w:val="0"/>
          <w:sz w:val="22"/>
        </w:rPr>
        <w:t>Sahan identified this need the way it knows its community best — through door-to-door and phone outreach, informal conversations, and direct feedback from women who repeatedly said they could not attend programming that did not also care for their children. Rise Together is built around removing that barrier: free, registered, on-site childcare runs the full program day so mothers can fully participate.</w:t>
      </w:r>
    </w:p>
    <w:p>
      <w:pPr>
        <w:spacing w:before="240" w:after="80"/>
      </w:pPr>
      <w:r>
        <w:rPr>
          <w:rFonts w:ascii="Arial" w:hAnsi="Arial"/>
          <w:b/>
          <w:color w:val="1F4E79"/>
          <w:sz w:val="32"/>
        </w:rPr>
        <w:t>Target Population</w:t>
      </w:r>
    </w:p>
    <w:p>
      <w:pPr>
        <w:pStyle w:val="ListBullet"/>
        <w:spacing w:after="60"/>
      </w:pPr>
      <w:r>
        <w:rPr>
          <w:rFonts w:ascii="Arial" w:hAnsi="Arial"/>
          <w:b w:val="0"/>
          <w:sz w:val="22"/>
        </w:rPr>
        <w:t>Newcomer women in Calgary, primarily from East African and Black communities</w:t>
      </w:r>
    </w:p>
    <w:p>
      <w:pPr>
        <w:pStyle w:val="ListBullet"/>
        <w:spacing w:after="60"/>
      </w:pPr>
      <w:r>
        <w:rPr>
          <w:rFonts w:ascii="Arial" w:hAnsi="Arial"/>
          <w:b w:val="0"/>
          <w:sz w:val="22"/>
        </w:rPr>
        <w:t>Women who do not yet speak English fluently</w:t>
      </w:r>
    </w:p>
    <w:p>
      <w:pPr>
        <w:pStyle w:val="ListBullet"/>
        <w:spacing w:after="60"/>
      </w:pPr>
      <w:r>
        <w:rPr>
          <w:rFonts w:ascii="Arial" w:hAnsi="Arial"/>
          <w:b w:val="0"/>
          <w:sz w:val="22"/>
        </w:rPr>
        <w:t>Single mothers who are unemployed or under-employed</w:t>
      </w:r>
    </w:p>
    <w:p>
      <w:pPr>
        <w:pStyle w:val="ListBullet"/>
        <w:spacing w:after="60"/>
      </w:pPr>
      <w:r>
        <w:rPr>
          <w:rFonts w:ascii="Arial" w:hAnsi="Arial"/>
          <w:b w:val="0"/>
          <w:sz w:val="22"/>
        </w:rPr>
        <w:t>Women who have lived in Canada for years but have never entered the Canadian workforce (e.g., raised children at home or were caregivers)</w:t>
      </w:r>
    </w:p>
    <w:p>
      <w:pPr>
        <w:spacing w:before="240" w:after="80"/>
      </w:pPr>
      <w:r>
        <w:rPr>
          <w:rFonts w:ascii="Arial" w:hAnsi="Arial"/>
          <w:b/>
          <w:color w:val="1F4E79"/>
          <w:sz w:val="32"/>
        </w:rPr>
        <w:t>Program Design</w:t>
      </w:r>
    </w:p>
    <w:p>
      <w:pPr>
        <w:spacing w:after="120"/>
      </w:pPr>
      <w:r>
        <w:rPr>
          <w:rFonts w:ascii="Arial" w:hAnsi="Arial"/>
          <w:b/>
          <w:i w:val="0"/>
          <w:sz w:val="22"/>
        </w:rPr>
        <w:t xml:space="preserve">Format: </w:t>
      </w:r>
      <w:r>
        <w:rPr>
          <w:rFonts w:ascii="Arial" w:hAnsi="Arial"/>
          <w:b w:val="0"/>
          <w:i w:val="0"/>
          <w:sz w:val="22"/>
        </w:rPr>
        <w:t>15 women per cohort, one Saturday per week for 12 consecutive weeks — 5 contact hours per Saturday, 60 hours total.</w:t>
      </w:r>
    </w:p>
    <w:p>
      <w:pPr>
        <w:spacing w:after="120"/>
      </w:pPr>
      <w:r>
        <w:rPr>
          <w:rFonts w:ascii="Arial" w:hAnsi="Arial"/>
          <w:b/>
          <w:i w:val="0"/>
          <w:sz w:val="22"/>
        </w:rPr>
        <w:t>Weekly schedule:</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shd w:val="clear" w:fill="1F4E79"/>
          </w:tcPr>
          <w:p>
            <w:r>
              <w:rPr>
                <w:rFonts w:ascii="Arial" w:hAnsi="Arial"/>
                <w:b/>
                <w:color w:val="FFFFFF"/>
                <w:sz w:val="20"/>
              </w:rPr>
              <w:t>Time</w:t>
            </w:r>
          </w:p>
        </w:tc>
        <w:tc>
          <w:tcPr>
            <w:tcW w:type="dxa" w:w="5328"/>
            <w:shd w:val="clear" w:fill="1F4E79"/>
          </w:tcPr>
          <w:p>
            <w:r>
              <w:rPr>
                <w:rFonts w:ascii="Arial" w:hAnsi="Arial"/>
                <w:b/>
                <w:color w:val="FFFFFF"/>
                <w:sz w:val="20"/>
              </w:rPr>
              <w:t>Activity</w:t>
            </w:r>
          </w:p>
        </w:tc>
        <w:tc>
          <w:tcPr>
            <w:tcW w:type="dxa" w:w="1872"/>
            <w:shd w:val="clear" w:fill="1F4E79"/>
          </w:tcPr>
          <w:p>
            <w:r>
              <w:rPr>
                <w:rFonts w:ascii="Arial" w:hAnsi="Arial"/>
                <w:b/>
                <w:color w:val="FFFFFF"/>
                <w:sz w:val="20"/>
              </w:rPr>
              <w:t>Length</w:t>
            </w:r>
          </w:p>
        </w:tc>
      </w:tr>
      <w:tr>
        <w:tc>
          <w:tcPr>
            <w:tcW w:type="dxa" w:w="2160"/>
          </w:tcPr>
          <w:p>
            <w:r>
              <w:rPr>
                <w:rFonts w:ascii="Arial" w:hAnsi="Arial"/>
                <w:sz w:val="20"/>
              </w:rPr>
              <w:t>9:45–10:00 am</w:t>
            </w:r>
          </w:p>
        </w:tc>
        <w:tc>
          <w:tcPr>
            <w:tcW w:type="dxa" w:w="5328"/>
          </w:tcPr>
          <w:p>
            <w:r>
              <w:rPr>
                <w:rFonts w:ascii="Arial" w:hAnsi="Arial"/>
                <w:sz w:val="20"/>
              </w:rPr>
              <w:t>Arrival, sign-in, children to babysitters</w:t>
            </w:r>
          </w:p>
        </w:tc>
        <w:tc>
          <w:tcPr>
            <w:tcW w:type="dxa" w:w="1872"/>
          </w:tcPr>
          <w:p>
            <w:r>
              <w:rPr>
                <w:rFonts w:ascii="Arial" w:hAnsi="Arial"/>
                <w:sz w:val="20"/>
              </w:rPr>
              <w:t>15 min</w:t>
            </w:r>
          </w:p>
        </w:tc>
      </w:tr>
      <w:tr>
        <w:tc>
          <w:tcPr>
            <w:tcW w:type="dxa" w:w="2160"/>
          </w:tcPr>
          <w:p>
            <w:r>
              <w:rPr>
                <w:rFonts w:ascii="Arial" w:hAnsi="Arial"/>
                <w:sz w:val="20"/>
              </w:rPr>
              <w:t>10:00 am–1:00 pm</w:t>
            </w:r>
          </w:p>
        </w:tc>
        <w:tc>
          <w:tcPr>
            <w:tcW w:type="dxa" w:w="5328"/>
          </w:tcPr>
          <w:p>
            <w:r>
              <w:rPr>
                <w:rFonts w:ascii="Arial" w:hAnsi="Arial"/>
                <w:sz w:val="20"/>
              </w:rPr>
              <w:t>Session 1 — Job Readiness Workshop</w:t>
            </w:r>
          </w:p>
        </w:tc>
        <w:tc>
          <w:tcPr>
            <w:tcW w:type="dxa" w:w="1872"/>
          </w:tcPr>
          <w:p>
            <w:r>
              <w:rPr>
                <w:rFonts w:ascii="Arial" w:hAnsi="Arial"/>
                <w:sz w:val="20"/>
              </w:rPr>
              <w:t>3 hrs</w:t>
            </w:r>
          </w:p>
        </w:tc>
      </w:tr>
      <w:tr>
        <w:tc>
          <w:tcPr>
            <w:tcW w:type="dxa" w:w="2160"/>
          </w:tcPr>
          <w:p>
            <w:r>
              <w:rPr>
                <w:rFonts w:ascii="Arial" w:hAnsi="Arial"/>
                <w:sz w:val="20"/>
              </w:rPr>
              <w:t>1:00–2:00 pm</w:t>
            </w:r>
          </w:p>
        </w:tc>
        <w:tc>
          <w:tcPr>
            <w:tcW w:type="dxa" w:w="5328"/>
          </w:tcPr>
          <w:p>
            <w:r>
              <w:rPr>
                <w:rFonts w:ascii="Arial" w:hAnsi="Arial"/>
                <w:sz w:val="20"/>
              </w:rPr>
              <w:t>Hot lunch (women + children together)</w:t>
            </w:r>
          </w:p>
        </w:tc>
        <w:tc>
          <w:tcPr>
            <w:tcW w:type="dxa" w:w="1872"/>
          </w:tcPr>
          <w:p>
            <w:r>
              <w:rPr>
                <w:rFonts w:ascii="Arial" w:hAnsi="Arial"/>
                <w:sz w:val="20"/>
              </w:rPr>
              <w:t>1 hr</w:t>
            </w:r>
          </w:p>
        </w:tc>
      </w:tr>
      <w:tr>
        <w:tc>
          <w:tcPr>
            <w:tcW w:type="dxa" w:w="2160"/>
          </w:tcPr>
          <w:p>
            <w:r>
              <w:rPr>
                <w:rFonts w:ascii="Arial" w:hAnsi="Arial"/>
                <w:sz w:val="20"/>
              </w:rPr>
              <w:t>2:00–4:00 pm</w:t>
            </w:r>
          </w:p>
        </w:tc>
        <w:tc>
          <w:tcPr>
            <w:tcW w:type="dxa" w:w="5328"/>
          </w:tcPr>
          <w:p>
            <w:r>
              <w:rPr>
                <w:rFonts w:ascii="Arial" w:hAnsi="Arial"/>
                <w:sz w:val="20"/>
              </w:rPr>
              <w:t>Session 2 — Conversational English + Mentor Time</w:t>
            </w:r>
          </w:p>
        </w:tc>
        <w:tc>
          <w:tcPr>
            <w:tcW w:type="dxa" w:w="1872"/>
          </w:tcPr>
          <w:p>
            <w:r>
              <w:rPr>
                <w:rFonts w:ascii="Arial" w:hAnsi="Arial"/>
                <w:sz w:val="20"/>
              </w:rPr>
              <w:t>2 hrs</w:t>
            </w:r>
          </w:p>
        </w:tc>
      </w:tr>
      <w:tr>
        <w:tc>
          <w:tcPr>
            <w:tcW w:type="dxa" w:w="2160"/>
          </w:tcPr>
          <w:p>
            <w:r>
              <w:rPr>
                <w:rFonts w:ascii="Arial" w:hAnsi="Arial"/>
                <w:sz w:val="20"/>
              </w:rPr>
              <w:t>4:00–4:15 pm</w:t>
            </w:r>
          </w:p>
        </w:tc>
        <w:tc>
          <w:tcPr>
            <w:tcW w:type="dxa" w:w="5328"/>
          </w:tcPr>
          <w:p>
            <w:r>
              <w:rPr>
                <w:rFonts w:ascii="Arial" w:hAnsi="Arial"/>
                <w:sz w:val="20"/>
              </w:rPr>
              <w:t>Pickup, weekly handout, debrief</w:t>
            </w:r>
          </w:p>
        </w:tc>
        <w:tc>
          <w:tcPr>
            <w:tcW w:type="dxa" w:w="1872"/>
          </w:tcPr>
          <w:p>
            <w:r>
              <w:rPr>
                <w:rFonts w:ascii="Arial" w:hAnsi="Arial"/>
                <w:sz w:val="20"/>
              </w:rPr>
              <w:t>15 min</w:t>
            </w:r>
          </w:p>
        </w:tc>
      </w:tr>
    </w:tbl>
    <w:p>
      <w:pPr>
        <w:spacing w:after="40"/>
      </w:pPr>
      <w:r>
        <w:rPr>
          <w:rFonts w:ascii="Arial" w:hAnsi="Arial"/>
          <w:b/>
          <w:i w:val="0"/>
          <w:sz w:val="22"/>
        </w:rPr>
        <w:t>Session 1 — Job Readiness (rotating themes):</w:t>
      </w:r>
    </w:p>
    <w:p>
      <w:pPr>
        <w:pStyle w:val="ListBullet"/>
        <w:spacing w:after="60"/>
      </w:pPr>
      <w:r>
        <w:rPr>
          <w:rFonts w:ascii="Arial" w:hAnsi="Arial"/>
          <w:b w:val="0"/>
          <w:sz w:val="22"/>
        </w:rPr>
        <w:t>Weeks 1–2: Self-assessment, transferable skills, Canadian workplace introduction</w:t>
      </w:r>
    </w:p>
    <w:p>
      <w:pPr>
        <w:pStyle w:val="ListBullet"/>
        <w:spacing w:after="60"/>
      </w:pPr>
      <w:r>
        <w:rPr>
          <w:rFonts w:ascii="Arial" w:hAnsi="Arial"/>
          <w:b w:val="0"/>
          <w:sz w:val="22"/>
        </w:rPr>
        <w:t>Weeks 3–4: Resume building with ESL-adapted templates</w:t>
      </w:r>
    </w:p>
    <w:p>
      <w:pPr>
        <w:pStyle w:val="ListBullet"/>
        <w:spacing w:after="60"/>
      </w:pPr>
      <w:r>
        <w:rPr>
          <w:rFonts w:ascii="Arial" w:hAnsi="Arial"/>
          <w:b w:val="0"/>
          <w:sz w:val="22"/>
        </w:rPr>
        <w:t>Weeks 5–6: Cover letters, online job applications, job-board navigation</w:t>
      </w:r>
    </w:p>
    <w:p>
      <w:pPr>
        <w:pStyle w:val="ListBullet"/>
        <w:spacing w:after="60"/>
      </w:pPr>
      <w:r>
        <w:rPr>
          <w:rFonts w:ascii="Arial" w:hAnsi="Arial"/>
          <w:b w:val="0"/>
          <w:sz w:val="22"/>
        </w:rPr>
        <w:t>Weeks 7–8: Interview preparation and mock interviews with feedback</w:t>
      </w:r>
    </w:p>
    <w:p>
      <w:pPr>
        <w:pStyle w:val="ListBullet"/>
        <w:spacing w:after="60"/>
      </w:pPr>
      <w:r>
        <w:rPr>
          <w:rFonts w:ascii="Arial" w:hAnsi="Arial"/>
          <w:b w:val="0"/>
          <w:sz w:val="22"/>
        </w:rPr>
        <w:t>Weeks 9–10: Workplace communication — phone, professional email, workplace norms</w:t>
      </w:r>
    </w:p>
    <w:p>
      <w:pPr>
        <w:pStyle w:val="ListBullet"/>
        <w:spacing w:after="60"/>
      </w:pPr>
      <w:r>
        <w:rPr>
          <w:rFonts w:ascii="Arial" w:hAnsi="Arial"/>
          <w:b w:val="0"/>
          <w:sz w:val="22"/>
        </w:rPr>
        <w:t>Weeks 11–12: Networking, mentor matching, individual next-steps planning</w:t>
      </w:r>
    </w:p>
    <w:p>
      <w:pPr>
        <w:spacing w:after="40"/>
      </w:pPr>
      <w:r>
        <w:rPr>
          <w:rFonts w:ascii="Arial" w:hAnsi="Arial"/>
          <w:b/>
          <w:i w:val="0"/>
          <w:sz w:val="22"/>
        </w:rPr>
        <w:t>Session 2 — Conversational English + Mentorship:</w:t>
      </w:r>
    </w:p>
    <w:p>
      <w:pPr>
        <w:pStyle w:val="ListBullet"/>
        <w:spacing w:after="60"/>
      </w:pPr>
      <w:r>
        <w:rPr>
          <w:rFonts w:ascii="Arial" w:hAnsi="Arial"/>
          <w:b w:val="0"/>
          <w:sz w:val="22"/>
        </w:rPr>
        <w:t>First hour: workplace-vocabulary ESL tied to that week's morning topic</w:t>
      </w:r>
    </w:p>
    <w:p>
      <w:pPr>
        <w:pStyle w:val="ListBullet"/>
        <w:spacing w:after="60"/>
      </w:pPr>
      <w:r>
        <w:rPr>
          <w:rFonts w:ascii="Arial" w:hAnsi="Arial"/>
          <w:b w:val="0"/>
          <w:sz w:val="22"/>
        </w:rPr>
        <w:t>Second hour: small-group mentor circles (3–4 women per mentor)</w:t>
      </w:r>
    </w:p>
    <w:p>
      <w:pPr>
        <w:spacing w:before="240" w:after="80"/>
      </w:pPr>
      <w:r>
        <w:rPr>
          <w:rFonts w:ascii="Arial" w:hAnsi="Arial"/>
          <w:b/>
          <w:color w:val="1F4E79"/>
          <w:sz w:val="32"/>
        </w:rPr>
        <w:t>Employment &amp; Digital Supports</w:t>
      </w:r>
    </w:p>
    <w:p>
      <w:pPr>
        <w:spacing w:after="120"/>
      </w:pPr>
      <w:r>
        <w:rPr>
          <w:rFonts w:ascii="Arial" w:hAnsi="Arial"/>
          <w:b w:val="0"/>
          <w:i w:val="0"/>
          <w:sz w:val="22"/>
        </w:rPr>
        <w:t>Backed by Sahan's cash co-investment, this cohort adds dedicated employment and digital supports beyond the core sessions:</w:t>
      </w:r>
    </w:p>
    <w:p>
      <w:pPr>
        <w:pStyle w:val="ListBullet"/>
        <w:spacing w:after="60"/>
      </w:pPr>
      <w:r>
        <w:rPr>
          <w:rFonts w:ascii="Arial" w:hAnsi="Arial"/>
          <w:b/>
          <w:sz w:val="22"/>
        </w:rPr>
        <w:t xml:space="preserve">One-on-one employment coach: </w:t>
      </w:r>
      <w:r>
        <w:rPr>
          <w:rFonts w:ascii="Arial" w:hAnsi="Arial"/>
          <w:b w:val="0"/>
          <w:sz w:val="22"/>
        </w:rPr>
        <w:t>a contracted coach provides individual resume, application, and interview support to each participant.</w:t>
      </w:r>
    </w:p>
    <w:p>
      <w:pPr>
        <w:pStyle w:val="ListBullet"/>
        <w:spacing w:after="60"/>
      </w:pPr>
      <w:r>
        <w:rPr>
          <w:rFonts w:ascii="Arial" w:hAnsi="Arial"/>
          <w:b/>
          <w:sz w:val="22"/>
        </w:rPr>
        <w:t xml:space="preserve">Digital-literacy laptops: </w:t>
      </w:r>
      <w:r>
        <w:rPr>
          <w:rFonts w:ascii="Arial" w:hAnsi="Arial"/>
          <w:b w:val="0"/>
          <w:sz w:val="22"/>
        </w:rPr>
        <w:t>2–3 shared laptops/tablets (reduced from six to preserve cash reserve) let participants practise online job searches, applications, and email — many for the first time.</w:t>
      </w:r>
    </w:p>
    <w:p>
      <w:pPr>
        <w:pStyle w:val="ListBullet"/>
        <w:spacing w:after="60"/>
      </w:pPr>
      <w:r>
        <w:rPr>
          <w:rFonts w:ascii="Arial" w:hAnsi="Arial"/>
          <w:b/>
          <w:sz w:val="22"/>
        </w:rPr>
        <w:t xml:space="preserve">Graduation celebration (Week 12): </w:t>
      </w:r>
      <w:r>
        <w:rPr>
          <w:rFonts w:ascii="Arial" w:hAnsi="Arial"/>
          <w:b w:val="0"/>
          <w:sz w:val="22"/>
        </w:rPr>
        <w:t>a closing event with certificates to mark completion and reinforce community.</w:t>
      </w:r>
    </w:p>
    <w:p>
      <w:pPr>
        <w:spacing w:before="240" w:after="80"/>
      </w:pPr>
      <w:r>
        <w:rPr>
          <w:rFonts w:ascii="Arial" w:hAnsi="Arial"/>
          <w:b/>
          <w:color w:val="1F4E79"/>
          <w:sz w:val="32"/>
        </w:rPr>
        <w:t>Children's Room</w:t>
      </w:r>
    </w:p>
    <w:p>
      <w:pPr>
        <w:pStyle w:val="ListBullet"/>
        <w:spacing w:after="60"/>
      </w:pPr>
      <w:r>
        <w:rPr>
          <w:rFonts w:ascii="Arial" w:hAnsi="Arial"/>
          <w:b w:val="0"/>
          <w:sz w:val="22"/>
        </w:rPr>
        <w:t>A separate room at the venue staffed the full program day (9:45 am–4:15 pm)</w:t>
      </w:r>
    </w:p>
    <w:p>
      <w:pPr>
        <w:pStyle w:val="ListBullet"/>
        <w:spacing w:after="60"/>
      </w:pPr>
      <w:r>
        <w:rPr>
          <w:rFonts w:ascii="Arial" w:hAnsi="Arial"/>
          <w:b w:val="0"/>
          <w:sz w:val="22"/>
        </w:rPr>
        <w:t>Three registered / certified babysitters on-site all day (sized for up to ~25 children)</w:t>
      </w:r>
    </w:p>
    <w:p>
      <w:pPr>
        <w:pStyle w:val="ListBullet"/>
        <w:spacing w:after="60"/>
      </w:pPr>
      <w:r>
        <w:rPr>
          <w:rFonts w:ascii="Arial" w:hAnsi="Arial"/>
          <w:b w:val="0"/>
          <w:sz w:val="22"/>
        </w:rPr>
        <w:t>Mixed ages infant to ~age 10; play mats, age-grouped stations, nap and snack areas</w:t>
      </w:r>
    </w:p>
    <w:p>
      <w:pPr>
        <w:pStyle w:val="ListBullet"/>
        <w:spacing w:after="60"/>
      </w:pPr>
      <w:r>
        <w:rPr>
          <w:rFonts w:ascii="Arial" w:hAnsi="Arial"/>
          <w:b w:val="0"/>
          <w:sz w:val="22"/>
        </w:rPr>
        <w:t>Sign-in/out logs for every child each Saturday (safety and insurance requirement)</w:t>
      </w:r>
    </w:p>
    <w:p>
      <w:pPr>
        <w:pStyle w:val="ListBullet"/>
        <w:spacing w:after="60"/>
      </w:pPr>
      <w:r>
        <w:rPr>
          <w:rFonts w:ascii="Arial" w:hAnsi="Arial"/>
          <w:b w:val="0"/>
          <w:sz w:val="22"/>
        </w:rPr>
        <w:t>Children eat lunch with their mothers at 1 pm; all food halal-only with a vegetarian option</w:t>
      </w:r>
    </w:p>
    <w:p>
      <w:pPr>
        <w:spacing w:before="240" w:after="80"/>
      </w:pPr>
      <w:r>
        <w:rPr>
          <w:rFonts w:ascii="Arial" w:hAnsi="Arial"/>
          <w:b/>
          <w:color w:val="1F4E79"/>
          <w:sz w:val="32"/>
        </w:rPr>
        <w:t>Program Modules &amp; Sessions</w:t>
      </w:r>
    </w:p>
    <w:p>
      <w:pPr>
        <w:spacing w:after="120"/>
      </w:pPr>
      <w:r>
        <w:rPr>
          <w:rFonts w:ascii="Arial" w:hAnsi="Arial"/>
          <w:b w:val="0"/>
          <w:i w:val="0"/>
          <w:sz w:val="22"/>
        </w:rPr>
        <w:t>Each cohort of 15 women completes the modules below over 12 weekly Saturdays. Mornings build job-readiness skills; afternoons build English and mentorship.</w:t>
      </w:r>
    </w:p>
    <w:p>
      <w:pPr>
        <w:spacing w:after="40"/>
      </w:pPr>
      <w:r>
        <w:rPr>
          <w:rFonts w:ascii="Arial" w:hAnsi="Arial"/>
          <w:b/>
          <w:i w:val="0"/>
          <w:sz w:val="22"/>
        </w:rPr>
        <w:t>Morning - Job Readiness: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592"/>
            <w:shd w:val="clear" w:fill="1F4E79"/>
          </w:tcPr>
          <w:p>
            <w:r>
              <w:rPr>
                <w:rFonts w:ascii="Arial" w:hAnsi="Arial"/>
                <w:b/>
                <w:color w:val="FFFFFF"/>
                <w:sz w:val="20"/>
              </w:rPr>
              <w:t>Module (the job)</w:t>
            </w:r>
          </w:p>
        </w:tc>
        <w:tc>
          <w:tcPr>
            <w:tcW w:type="dxa" w:w="4320"/>
            <w:shd w:val="clear" w:fill="1F4E79"/>
          </w:tcPr>
          <w:p>
            <w:r>
              <w:rPr>
                <w:rFonts w:ascii="Arial" w:hAnsi="Arial"/>
                <w:b/>
                <w:color w:val="FFFFFF"/>
                <w:sz w:val="20"/>
              </w:rPr>
              <w:t>Why it matters</w:t>
            </w:r>
          </w:p>
        </w:tc>
        <w:tc>
          <w:tcPr>
            <w:tcW w:type="dxa" w:w="1152"/>
            <w:shd w:val="clear" w:fill="1F4E79"/>
          </w:tcPr>
          <w:p>
            <w:r>
              <w:rPr>
                <w:rFonts w:ascii="Arial" w:hAnsi="Arial"/>
                <w:b/>
                <w:color w:val="FFFFFF"/>
                <w:sz w:val="20"/>
              </w:rPr>
              <w:t>Sessions</w:t>
            </w:r>
          </w:p>
        </w:tc>
        <w:tc>
          <w:tcPr>
            <w:tcW w:type="dxa" w:w="1296"/>
            <w:shd w:val="clear" w:fill="1F4E79"/>
          </w:tcPr>
          <w:p>
            <w:r>
              <w:rPr>
                <w:rFonts w:ascii="Arial" w:hAnsi="Arial"/>
                <w:b/>
                <w:color w:val="FFFFFF"/>
                <w:sz w:val="20"/>
              </w:rPr>
              <w:t>Women</w:t>
            </w:r>
          </w:p>
        </w:tc>
      </w:tr>
      <w:tr>
        <w:tc>
          <w:tcPr>
            <w:tcW w:type="dxa" w:w="2592"/>
          </w:tcPr>
          <w:p>
            <w:r>
              <w:rPr>
                <w:rFonts w:ascii="Arial" w:hAnsi="Arial"/>
                <w:sz w:val="20"/>
              </w:rPr>
              <w:t>Self-assessment &amp; transferable skills</w:t>
            </w:r>
          </w:p>
        </w:tc>
        <w:tc>
          <w:tcPr>
            <w:tcW w:type="dxa" w:w="4320"/>
          </w:tcPr>
          <w:p>
            <w:r>
              <w:rPr>
                <w:rFonts w:ascii="Arial" w:hAnsi="Arial"/>
                <w:sz w:val="20"/>
              </w:rPr>
              <w:t>Surfaces skills she already has; builds confidence to start</w:t>
            </w:r>
          </w:p>
        </w:tc>
        <w:tc>
          <w:tcPr>
            <w:tcW w:type="dxa" w:w="1152"/>
          </w:tcPr>
          <w:p>
            <w:r>
              <w:rPr>
                <w:rFonts w:ascii="Arial" w:hAnsi="Arial"/>
                <w:sz w:val="20"/>
              </w:rPr>
              <w:t>2</w:t>
            </w:r>
          </w:p>
        </w:tc>
        <w:tc>
          <w:tcPr>
            <w:tcW w:type="dxa" w:w="1296"/>
          </w:tcPr>
          <w:p>
            <w:r>
              <w:rPr>
                <w:rFonts w:ascii="Arial" w:hAnsi="Arial"/>
                <w:sz w:val="20"/>
              </w:rPr>
              <w:t>15</w:t>
            </w:r>
          </w:p>
        </w:tc>
      </w:tr>
      <w:tr>
        <w:tc>
          <w:tcPr>
            <w:tcW w:type="dxa" w:w="2592"/>
          </w:tcPr>
          <w:p>
            <w:r>
              <w:rPr>
                <w:rFonts w:ascii="Arial" w:hAnsi="Arial"/>
                <w:sz w:val="20"/>
              </w:rPr>
              <w:t>Creating a resume</w:t>
            </w:r>
          </w:p>
        </w:tc>
        <w:tc>
          <w:tcPr>
            <w:tcW w:type="dxa" w:w="4320"/>
          </w:tcPr>
          <w:p>
            <w:r>
              <w:rPr>
                <w:rFonts w:ascii="Arial" w:hAnsi="Arial"/>
                <w:sz w:val="20"/>
              </w:rPr>
              <w:t>Canadian-style, ESL-adapted resume - needed to apply for any job</w:t>
            </w:r>
          </w:p>
        </w:tc>
        <w:tc>
          <w:tcPr>
            <w:tcW w:type="dxa" w:w="1152"/>
          </w:tcPr>
          <w:p>
            <w:r>
              <w:rPr>
                <w:rFonts w:ascii="Arial" w:hAnsi="Arial"/>
                <w:sz w:val="20"/>
              </w:rPr>
              <w:t>2</w:t>
            </w:r>
          </w:p>
        </w:tc>
        <w:tc>
          <w:tcPr>
            <w:tcW w:type="dxa" w:w="1296"/>
          </w:tcPr>
          <w:p>
            <w:r>
              <w:rPr>
                <w:rFonts w:ascii="Arial" w:hAnsi="Arial"/>
                <w:sz w:val="20"/>
              </w:rPr>
              <w:t>15</w:t>
            </w:r>
          </w:p>
        </w:tc>
      </w:tr>
      <w:tr>
        <w:tc>
          <w:tcPr>
            <w:tcW w:type="dxa" w:w="2592"/>
          </w:tcPr>
          <w:p>
            <w:r>
              <w:rPr>
                <w:rFonts w:ascii="Arial" w:hAnsi="Arial"/>
                <w:sz w:val="20"/>
              </w:rPr>
              <w:t>Cover letters &amp; online applications</w:t>
            </w:r>
          </w:p>
        </w:tc>
        <w:tc>
          <w:tcPr>
            <w:tcW w:type="dxa" w:w="4320"/>
          </w:tcPr>
          <w:p>
            <w:r>
              <w:rPr>
                <w:rFonts w:ascii="Arial" w:hAnsi="Arial"/>
                <w:sz w:val="20"/>
              </w:rPr>
              <w:t>How jobs are actually applied for here: boards, online forms</w:t>
            </w:r>
          </w:p>
        </w:tc>
        <w:tc>
          <w:tcPr>
            <w:tcW w:type="dxa" w:w="1152"/>
          </w:tcPr>
          <w:p>
            <w:r>
              <w:rPr>
                <w:rFonts w:ascii="Arial" w:hAnsi="Arial"/>
                <w:sz w:val="20"/>
              </w:rPr>
              <w:t>2</w:t>
            </w:r>
          </w:p>
        </w:tc>
        <w:tc>
          <w:tcPr>
            <w:tcW w:type="dxa" w:w="1296"/>
          </w:tcPr>
          <w:p>
            <w:r>
              <w:rPr>
                <w:rFonts w:ascii="Arial" w:hAnsi="Arial"/>
                <w:sz w:val="20"/>
              </w:rPr>
              <w:t>15</w:t>
            </w:r>
          </w:p>
        </w:tc>
      </w:tr>
      <w:tr>
        <w:tc>
          <w:tcPr>
            <w:tcW w:type="dxa" w:w="2592"/>
          </w:tcPr>
          <w:p>
            <w:r>
              <w:rPr>
                <w:rFonts w:ascii="Arial" w:hAnsi="Arial"/>
                <w:sz w:val="20"/>
              </w:rPr>
              <w:t>Interview prep &amp; mock interviews</w:t>
            </w:r>
          </w:p>
        </w:tc>
        <w:tc>
          <w:tcPr>
            <w:tcW w:type="dxa" w:w="4320"/>
          </w:tcPr>
          <w:p>
            <w:r>
              <w:rPr>
                <w:rFonts w:ascii="Arial" w:hAnsi="Arial"/>
                <w:sz w:val="20"/>
              </w:rPr>
              <w:t>Practice + feedback turn applications into offers</w:t>
            </w:r>
          </w:p>
        </w:tc>
        <w:tc>
          <w:tcPr>
            <w:tcW w:type="dxa" w:w="1152"/>
          </w:tcPr>
          <w:p>
            <w:r>
              <w:rPr>
                <w:rFonts w:ascii="Arial" w:hAnsi="Arial"/>
                <w:sz w:val="20"/>
              </w:rPr>
              <w:t>2</w:t>
            </w:r>
          </w:p>
        </w:tc>
        <w:tc>
          <w:tcPr>
            <w:tcW w:type="dxa" w:w="1296"/>
          </w:tcPr>
          <w:p>
            <w:r>
              <w:rPr>
                <w:rFonts w:ascii="Arial" w:hAnsi="Arial"/>
                <w:sz w:val="20"/>
              </w:rPr>
              <w:t>15</w:t>
            </w:r>
          </w:p>
        </w:tc>
      </w:tr>
      <w:tr>
        <w:tc>
          <w:tcPr>
            <w:tcW w:type="dxa" w:w="2592"/>
          </w:tcPr>
          <w:p>
            <w:r>
              <w:rPr>
                <w:rFonts w:ascii="Arial" w:hAnsi="Arial"/>
                <w:sz w:val="20"/>
              </w:rPr>
              <w:t>Workplace communication</w:t>
            </w:r>
          </w:p>
        </w:tc>
        <w:tc>
          <w:tcPr>
            <w:tcW w:type="dxa" w:w="4320"/>
          </w:tcPr>
          <w:p>
            <w:r>
              <w:rPr>
                <w:rFonts w:ascii="Arial" w:hAnsi="Arial"/>
                <w:sz w:val="20"/>
              </w:rPr>
              <w:t>Phone, email, workplace norms - to start and keep a job</w:t>
            </w:r>
          </w:p>
        </w:tc>
        <w:tc>
          <w:tcPr>
            <w:tcW w:type="dxa" w:w="1152"/>
          </w:tcPr>
          <w:p>
            <w:r>
              <w:rPr>
                <w:rFonts w:ascii="Arial" w:hAnsi="Arial"/>
                <w:sz w:val="20"/>
              </w:rPr>
              <w:t>2</w:t>
            </w:r>
          </w:p>
        </w:tc>
        <w:tc>
          <w:tcPr>
            <w:tcW w:type="dxa" w:w="1296"/>
          </w:tcPr>
          <w:p>
            <w:r>
              <w:rPr>
                <w:rFonts w:ascii="Arial" w:hAnsi="Arial"/>
                <w:sz w:val="20"/>
              </w:rPr>
              <w:t>15</w:t>
            </w:r>
          </w:p>
        </w:tc>
      </w:tr>
      <w:tr>
        <w:tc>
          <w:tcPr>
            <w:tcW w:type="dxa" w:w="2592"/>
          </w:tcPr>
          <w:p>
            <w:r>
              <w:rPr>
                <w:rFonts w:ascii="Arial" w:hAnsi="Arial"/>
                <w:sz w:val="20"/>
              </w:rPr>
              <w:t>Networking &amp; next-steps plan</w:t>
            </w:r>
          </w:p>
        </w:tc>
        <w:tc>
          <w:tcPr>
            <w:tcW w:type="dxa" w:w="4320"/>
          </w:tcPr>
          <w:p>
            <w:r>
              <w:rPr>
                <w:rFonts w:ascii="Arial" w:hAnsi="Arial"/>
                <w:sz w:val="20"/>
              </w:rPr>
              <w:t>Builds contacts, matches a mentor, sets her action plan</w:t>
            </w:r>
          </w:p>
        </w:tc>
        <w:tc>
          <w:tcPr>
            <w:tcW w:type="dxa" w:w="1152"/>
          </w:tcPr>
          <w:p>
            <w:r>
              <w:rPr>
                <w:rFonts w:ascii="Arial" w:hAnsi="Arial"/>
                <w:sz w:val="20"/>
              </w:rPr>
              <w:t>2</w:t>
            </w:r>
          </w:p>
        </w:tc>
        <w:tc>
          <w:tcPr>
            <w:tcW w:type="dxa" w:w="1296"/>
          </w:tcPr>
          <w:p>
            <w:r>
              <w:rPr>
                <w:rFonts w:ascii="Arial" w:hAnsi="Arial"/>
                <w:sz w:val="20"/>
              </w:rPr>
              <w:t>15</w:t>
            </w:r>
          </w:p>
        </w:tc>
      </w:tr>
    </w:tbl>
    <w:p>
      <w:pPr>
        <w:spacing w:after="40"/>
      </w:pPr>
      <w:r>
        <w:rPr>
          <w:rFonts w:ascii="Arial" w:hAnsi="Arial"/>
          <w:b/>
          <w:i w:val="0"/>
          <w:sz w:val="22"/>
        </w:rPr>
        <w:t>Afternoon - English &amp; Mentorship (every week):</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592"/>
            <w:shd w:val="clear" w:fill="1F4E79"/>
          </w:tcPr>
          <w:p>
            <w:r>
              <w:rPr>
                <w:rFonts w:ascii="Arial" w:hAnsi="Arial"/>
                <w:b/>
                <w:color w:val="FFFFFF"/>
                <w:sz w:val="20"/>
              </w:rPr>
              <w:t>Activity</w:t>
            </w:r>
          </w:p>
        </w:tc>
        <w:tc>
          <w:tcPr>
            <w:tcW w:type="dxa" w:w="4320"/>
            <w:shd w:val="clear" w:fill="1F4E79"/>
          </w:tcPr>
          <w:p>
            <w:r>
              <w:rPr>
                <w:rFonts w:ascii="Arial" w:hAnsi="Arial"/>
                <w:b/>
                <w:color w:val="FFFFFF"/>
                <w:sz w:val="20"/>
              </w:rPr>
              <w:t>Why it matters</w:t>
            </w:r>
          </w:p>
        </w:tc>
        <w:tc>
          <w:tcPr>
            <w:tcW w:type="dxa" w:w="1152"/>
            <w:shd w:val="clear" w:fill="1F4E79"/>
          </w:tcPr>
          <w:p>
            <w:r>
              <w:rPr>
                <w:rFonts w:ascii="Arial" w:hAnsi="Arial"/>
                <w:b/>
                <w:color w:val="FFFFFF"/>
                <w:sz w:val="20"/>
              </w:rPr>
              <w:t>Sessions</w:t>
            </w:r>
          </w:p>
        </w:tc>
        <w:tc>
          <w:tcPr>
            <w:tcW w:type="dxa" w:w="1296"/>
            <w:shd w:val="clear" w:fill="1F4E79"/>
          </w:tcPr>
          <w:p>
            <w:r>
              <w:rPr>
                <w:rFonts w:ascii="Arial" w:hAnsi="Arial"/>
                <w:b/>
                <w:color w:val="FFFFFF"/>
                <w:sz w:val="20"/>
              </w:rPr>
              <w:t>Women</w:t>
            </w:r>
          </w:p>
        </w:tc>
      </w:tr>
      <w:tr>
        <w:tc>
          <w:tcPr>
            <w:tcW w:type="dxa" w:w="2592"/>
          </w:tcPr>
          <w:p>
            <w:r>
              <w:rPr>
                <w:rFonts w:ascii="Arial" w:hAnsi="Arial"/>
                <w:sz w:val="20"/>
              </w:rPr>
              <w:t>Conversational / workplace English</w:t>
            </w:r>
          </w:p>
        </w:tc>
        <w:tc>
          <w:tcPr>
            <w:tcW w:type="dxa" w:w="4320"/>
          </w:tcPr>
          <w:p>
            <w:r>
              <w:rPr>
                <w:rFonts w:ascii="Arial" w:hAnsi="Arial"/>
                <w:sz w:val="20"/>
              </w:rPr>
              <w:t>Builds the practical English each week needs</w:t>
            </w:r>
          </w:p>
        </w:tc>
        <w:tc>
          <w:tcPr>
            <w:tcW w:type="dxa" w:w="1152"/>
          </w:tcPr>
          <w:p>
            <w:r>
              <w:rPr>
                <w:rFonts w:ascii="Arial" w:hAnsi="Arial"/>
                <w:sz w:val="20"/>
              </w:rPr>
              <w:t>12</w:t>
            </w:r>
          </w:p>
        </w:tc>
        <w:tc>
          <w:tcPr>
            <w:tcW w:type="dxa" w:w="1296"/>
          </w:tcPr>
          <w:p>
            <w:r>
              <w:rPr>
                <w:rFonts w:ascii="Arial" w:hAnsi="Arial"/>
                <w:sz w:val="20"/>
              </w:rPr>
              <w:t>15</w:t>
            </w:r>
          </w:p>
        </w:tc>
      </w:tr>
      <w:tr>
        <w:tc>
          <w:tcPr>
            <w:tcW w:type="dxa" w:w="2592"/>
          </w:tcPr>
          <w:p>
            <w:r>
              <w:rPr>
                <w:rFonts w:ascii="Arial" w:hAnsi="Arial"/>
                <w:sz w:val="20"/>
              </w:rPr>
              <w:t>Mentor circles</w:t>
            </w:r>
          </w:p>
        </w:tc>
        <w:tc>
          <w:tcPr>
            <w:tcW w:type="dxa" w:w="4320"/>
          </w:tcPr>
          <w:p>
            <w:r>
              <w:rPr>
                <w:rFonts w:ascii="Arial" w:hAnsi="Arial"/>
                <w:sz w:val="20"/>
              </w:rPr>
              <w:t>Small-group guidance and role models</w:t>
            </w:r>
          </w:p>
        </w:tc>
        <w:tc>
          <w:tcPr>
            <w:tcW w:type="dxa" w:w="1152"/>
          </w:tcPr>
          <w:p>
            <w:r>
              <w:rPr>
                <w:rFonts w:ascii="Arial" w:hAnsi="Arial"/>
                <w:sz w:val="20"/>
              </w:rPr>
              <w:t>12</w:t>
            </w:r>
          </w:p>
        </w:tc>
        <w:tc>
          <w:tcPr>
            <w:tcW w:type="dxa" w:w="1296"/>
          </w:tcPr>
          <w:p>
            <w:r>
              <w:rPr>
                <w:rFonts w:ascii="Arial" w:hAnsi="Arial"/>
                <w:sz w:val="20"/>
              </w:rPr>
              <w:t>3-4 per mentor</w:t>
            </w:r>
          </w:p>
        </w:tc>
      </w:tr>
    </w:tbl>
    <w:p>
      <w:pPr>
        <w:spacing w:after="40"/>
      </w:pPr>
      <w:r>
        <w:rPr>
          <w:rFonts w:ascii="Arial" w:hAnsi="Arial"/>
          <w:b/>
          <w:i w:val="0"/>
          <w:sz w:val="22"/>
        </w:rPr>
        <w:t>Added supports &amp; milestones: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592"/>
            <w:shd w:val="clear" w:fill="1F4E79"/>
          </w:tcPr>
          <w:p>
            <w:r>
              <w:rPr>
                <w:rFonts w:ascii="Arial" w:hAnsi="Arial"/>
                <w:b/>
                <w:color w:val="FFFFFF"/>
                <w:sz w:val="20"/>
              </w:rPr>
              <w:t>Activity</w:t>
            </w:r>
          </w:p>
        </w:tc>
        <w:tc>
          <w:tcPr>
            <w:tcW w:type="dxa" w:w="4320"/>
            <w:shd w:val="clear" w:fill="1F4E79"/>
          </w:tcPr>
          <w:p>
            <w:r>
              <w:rPr>
                <w:rFonts w:ascii="Arial" w:hAnsi="Arial"/>
                <w:b/>
                <w:color w:val="FFFFFF"/>
                <w:sz w:val="20"/>
              </w:rPr>
              <w:t>Why it matters</w:t>
            </w:r>
          </w:p>
        </w:tc>
        <w:tc>
          <w:tcPr>
            <w:tcW w:type="dxa" w:w="1152"/>
            <w:shd w:val="clear" w:fill="1F4E79"/>
          </w:tcPr>
          <w:p>
            <w:r>
              <w:rPr>
                <w:rFonts w:ascii="Arial" w:hAnsi="Arial"/>
                <w:b/>
                <w:color w:val="FFFFFF"/>
                <w:sz w:val="20"/>
              </w:rPr>
              <w:t>Sessions</w:t>
            </w:r>
          </w:p>
        </w:tc>
        <w:tc>
          <w:tcPr>
            <w:tcW w:type="dxa" w:w="1296"/>
            <w:shd w:val="clear" w:fill="1F4E79"/>
          </w:tcPr>
          <w:p>
            <w:r>
              <w:rPr>
                <w:rFonts w:ascii="Arial" w:hAnsi="Arial"/>
                <w:b/>
                <w:color w:val="FFFFFF"/>
                <w:sz w:val="20"/>
              </w:rPr>
              <w:t>Women</w:t>
            </w:r>
          </w:p>
        </w:tc>
      </w:tr>
      <w:tr>
        <w:tc>
          <w:tcPr>
            <w:tcW w:type="dxa" w:w="2592"/>
          </w:tcPr>
          <w:p>
            <w:r>
              <w:rPr>
                <w:rFonts w:ascii="Arial" w:hAnsi="Arial"/>
                <w:sz w:val="20"/>
              </w:rPr>
              <w:t>1:1 employment coaching</w:t>
            </w:r>
          </w:p>
        </w:tc>
        <w:tc>
          <w:tcPr>
            <w:tcW w:type="dxa" w:w="4320"/>
          </w:tcPr>
          <w:p>
            <w:r>
              <w:rPr>
                <w:rFonts w:ascii="Arial" w:hAnsi="Arial"/>
                <w:sz w:val="20"/>
              </w:rPr>
              <w:t>Individual resume and interview help</w:t>
            </w:r>
          </w:p>
        </w:tc>
        <w:tc>
          <w:tcPr>
            <w:tcW w:type="dxa" w:w="1152"/>
          </w:tcPr>
          <w:p>
            <w:r>
              <w:rPr>
                <w:rFonts w:ascii="Arial" w:hAnsi="Arial"/>
                <w:sz w:val="20"/>
              </w:rPr>
              <w:t>Ongoing</w:t>
            </w:r>
          </w:p>
        </w:tc>
        <w:tc>
          <w:tcPr>
            <w:tcW w:type="dxa" w:w="1296"/>
          </w:tcPr>
          <w:p>
            <w:r>
              <w:rPr>
                <w:rFonts w:ascii="Arial" w:hAnsi="Arial"/>
                <w:sz w:val="20"/>
              </w:rPr>
              <w:t>Individual</w:t>
            </w:r>
          </w:p>
        </w:tc>
      </w:tr>
      <w:tr>
        <w:tc>
          <w:tcPr>
            <w:tcW w:type="dxa" w:w="2592"/>
          </w:tcPr>
          <w:p>
            <w:r>
              <w:rPr>
                <w:rFonts w:ascii="Arial" w:hAnsi="Arial"/>
                <w:sz w:val="20"/>
              </w:rPr>
              <w:t>Digital literacy (laptops)</w:t>
            </w:r>
          </w:p>
        </w:tc>
        <w:tc>
          <w:tcPr>
            <w:tcW w:type="dxa" w:w="4320"/>
          </w:tcPr>
          <w:p>
            <w:r>
              <w:rPr>
                <w:rFonts w:ascii="Arial" w:hAnsi="Arial"/>
                <w:sz w:val="20"/>
              </w:rPr>
              <w:t>Hands-on online applications &amp; email practice</w:t>
            </w:r>
          </w:p>
        </w:tc>
        <w:tc>
          <w:tcPr>
            <w:tcW w:type="dxa" w:w="1152"/>
          </w:tcPr>
          <w:p>
            <w:r>
              <w:rPr>
                <w:rFonts w:ascii="Arial" w:hAnsi="Arial"/>
                <w:sz w:val="20"/>
              </w:rPr>
              <w:t>Woven in</w:t>
            </w:r>
          </w:p>
        </w:tc>
        <w:tc>
          <w:tcPr>
            <w:tcW w:type="dxa" w:w="1296"/>
          </w:tcPr>
          <w:p>
            <w:r>
              <w:rPr>
                <w:rFonts w:ascii="Arial" w:hAnsi="Arial"/>
                <w:sz w:val="20"/>
              </w:rPr>
              <w:t>15 (shared)</w:t>
            </w:r>
          </w:p>
        </w:tc>
      </w:tr>
      <w:tr>
        <w:tc>
          <w:tcPr>
            <w:tcW w:type="dxa" w:w="2592"/>
          </w:tcPr>
          <w:p>
            <w:r>
              <w:rPr>
                <w:rFonts w:ascii="Arial" w:hAnsi="Arial"/>
                <w:sz w:val="20"/>
              </w:rPr>
              <w:t>Bridges cross-community event</w:t>
            </w:r>
          </w:p>
        </w:tc>
        <w:tc>
          <w:tcPr>
            <w:tcW w:type="dxa" w:w="4320"/>
          </w:tcPr>
          <w:p>
            <w:r>
              <w:rPr>
                <w:rFonts w:ascii="Arial" w:hAnsi="Arial"/>
                <w:sz w:val="20"/>
              </w:rPr>
              <w:t>Social inclusion; expands her network</w:t>
            </w:r>
          </w:p>
        </w:tc>
        <w:tc>
          <w:tcPr>
            <w:tcW w:type="dxa" w:w="1152"/>
          </w:tcPr>
          <w:p>
            <w:r>
              <w:rPr>
                <w:rFonts w:ascii="Arial" w:hAnsi="Arial"/>
                <w:sz w:val="20"/>
              </w:rPr>
              <w:t>1</w:t>
            </w:r>
          </w:p>
        </w:tc>
        <w:tc>
          <w:tcPr>
            <w:tcW w:type="dxa" w:w="1296"/>
          </w:tcPr>
          <w:p>
            <w:r>
              <w:rPr>
                <w:rFonts w:ascii="Arial" w:hAnsi="Arial"/>
                <w:sz w:val="20"/>
              </w:rPr>
              <w:t>15 + 5-8</w:t>
            </w:r>
          </w:p>
        </w:tc>
      </w:tr>
      <w:tr>
        <w:tc>
          <w:tcPr>
            <w:tcW w:type="dxa" w:w="2592"/>
          </w:tcPr>
          <w:p>
            <w:r>
              <w:rPr>
                <w:rFonts w:ascii="Arial" w:hAnsi="Arial"/>
                <w:sz w:val="20"/>
              </w:rPr>
              <w:t>Graduation (Week 12)</w:t>
            </w:r>
          </w:p>
        </w:tc>
        <w:tc>
          <w:tcPr>
            <w:tcW w:type="dxa" w:w="4320"/>
          </w:tcPr>
          <w:p>
            <w:r>
              <w:rPr>
                <w:rFonts w:ascii="Arial" w:hAnsi="Arial"/>
                <w:sz w:val="20"/>
              </w:rPr>
              <w:t>Recognizes completion; reinforces community</w:t>
            </w:r>
          </w:p>
        </w:tc>
        <w:tc>
          <w:tcPr>
            <w:tcW w:type="dxa" w:w="1152"/>
          </w:tcPr>
          <w:p>
            <w:r>
              <w:rPr>
                <w:rFonts w:ascii="Arial" w:hAnsi="Arial"/>
                <w:sz w:val="20"/>
              </w:rPr>
              <w:t>1</w:t>
            </w:r>
          </w:p>
        </w:tc>
        <w:tc>
          <w:tcPr>
            <w:tcW w:type="dxa" w:w="1296"/>
          </w:tcPr>
          <w:p>
            <w:r>
              <w:rPr>
                <w:rFonts w:ascii="Arial" w:hAnsi="Arial"/>
                <w:sz w:val="20"/>
              </w:rPr>
              <w:t>15 + families</w:t>
            </w:r>
          </w:p>
        </w:tc>
      </w:tr>
    </w:tbl>
    <w:p>
      <w:pPr>
        <w:spacing w:before="240" w:after="80"/>
      </w:pPr>
      <w:r>
        <w:rPr>
          <w:rFonts w:ascii="Arial" w:hAnsi="Arial"/>
          <w:b/>
          <w:color w:val="1F4E79"/>
          <w:sz w:val="32"/>
        </w:rPr>
        <w:t>Food Provided Every Saturday</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val="clear" w:fill="1F4E79"/>
          </w:tcPr>
          <w:p>
            <w:r>
              <w:rPr>
                <w:rFonts w:ascii="Arial" w:hAnsi="Arial"/>
                <w:b/>
                <w:color w:val="FFFFFF"/>
                <w:sz w:val="20"/>
              </w:rPr>
              <w:t>Time</w:t>
            </w:r>
          </w:p>
        </w:tc>
        <w:tc>
          <w:tcPr>
            <w:tcW w:type="dxa" w:w="3168"/>
            <w:shd w:val="clear" w:fill="1F4E79"/>
          </w:tcPr>
          <w:p>
            <w:r>
              <w:rPr>
                <w:rFonts w:ascii="Arial" w:hAnsi="Arial"/>
                <w:b/>
                <w:color w:val="FFFFFF"/>
                <w:sz w:val="20"/>
              </w:rPr>
              <w:t>Meal</w:t>
            </w:r>
          </w:p>
        </w:tc>
        <w:tc>
          <w:tcPr>
            <w:tcW w:type="dxa" w:w="3888"/>
            <w:shd w:val="clear" w:fill="1F4E79"/>
          </w:tcPr>
          <w:p>
            <w:r>
              <w:rPr>
                <w:rFonts w:ascii="Arial" w:hAnsi="Arial"/>
                <w:b/>
                <w:color w:val="FFFFFF"/>
                <w:sz w:val="20"/>
              </w:rPr>
              <w:t>Notes</w:t>
            </w:r>
          </w:p>
        </w:tc>
      </w:tr>
      <w:tr>
        <w:tc>
          <w:tcPr>
            <w:tcW w:type="dxa" w:w="2304"/>
          </w:tcPr>
          <w:p>
            <w:r>
              <w:rPr>
                <w:rFonts w:ascii="Arial" w:hAnsi="Arial"/>
                <w:sz w:val="20"/>
              </w:rPr>
              <w:t>10:00 am</w:t>
            </w:r>
          </w:p>
        </w:tc>
        <w:tc>
          <w:tcPr>
            <w:tcW w:type="dxa" w:w="3168"/>
          </w:tcPr>
          <w:p>
            <w:r>
              <w:rPr>
                <w:rFonts w:ascii="Arial" w:hAnsi="Arial"/>
                <w:sz w:val="20"/>
              </w:rPr>
              <w:t>Morning snack</w:t>
            </w:r>
          </w:p>
        </w:tc>
        <w:tc>
          <w:tcPr>
            <w:tcW w:type="dxa" w:w="3888"/>
          </w:tcPr>
          <w:p>
            <w:r>
              <w:rPr>
                <w:rFonts w:ascii="Arial" w:hAnsi="Arial"/>
                <w:sz w:val="20"/>
              </w:rPr>
              <w:t>Fruit, pastries, tea, coffee, water</w:t>
            </w:r>
          </w:p>
        </w:tc>
      </w:tr>
      <w:tr>
        <w:tc>
          <w:tcPr>
            <w:tcW w:type="dxa" w:w="2304"/>
          </w:tcPr>
          <w:p>
            <w:r>
              <w:rPr>
                <w:rFonts w:ascii="Arial" w:hAnsi="Arial"/>
                <w:sz w:val="20"/>
              </w:rPr>
              <w:t>1:00–2:00 pm</w:t>
            </w:r>
          </w:p>
        </w:tc>
        <w:tc>
          <w:tcPr>
            <w:tcW w:type="dxa" w:w="3168"/>
          </w:tcPr>
          <w:p>
            <w:r>
              <w:rPr>
                <w:rFonts w:ascii="Arial" w:hAnsi="Arial"/>
                <w:sz w:val="20"/>
              </w:rPr>
              <w:t>Hot lunch</w:t>
            </w:r>
          </w:p>
        </w:tc>
        <w:tc>
          <w:tcPr>
            <w:tcW w:type="dxa" w:w="3888"/>
          </w:tcPr>
          <w:p>
            <w:r>
              <w:rPr>
                <w:rFonts w:ascii="Arial" w:hAnsi="Arial"/>
                <w:sz w:val="20"/>
              </w:rPr>
              <w:t>Culturally familiar rotating menu; women + children together</w:t>
            </w:r>
          </w:p>
        </w:tc>
      </w:tr>
      <w:tr>
        <w:tc>
          <w:tcPr>
            <w:tcW w:type="dxa" w:w="2304"/>
          </w:tcPr>
          <w:p>
            <w:r>
              <w:rPr>
                <w:rFonts w:ascii="Arial" w:hAnsi="Arial"/>
                <w:sz w:val="20"/>
              </w:rPr>
              <w:t>2:30 pm</w:t>
            </w:r>
          </w:p>
        </w:tc>
        <w:tc>
          <w:tcPr>
            <w:tcW w:type="dxa" w:w="3168"/>
          </w:tcPr>
          <w:p>
            <w:r>
              <w:rPr>
                <w:rFonts w:ascii="Arial" w:hAnsi="Arial"/>
                <w:sz w:val="20"/>
              </w:rPr>
              <w:t>Afternoon snack</w:t>
            </w:r>
          </w:p>
        </w:tc>
        <w:tc>
          <w:tcPr>
            <w:tcW w:type="dxa" w:w="3888"/>
          </w:tcPr>
          <w:p>
            <w:r>
              <w:rPr>
                <w:rFonts w:ascii="Arial" w:hAnsi="Arial"/>
                <w:sz w:val="20"/>
              </w:rPr>
              <w:t>Fruit, juice, small treat for children</w:t>
            </w:r>
          </w:p>
        </w:tc>
      </w:tr>
    </w:tbl>
    <w:p>
      <w:pPr>
        <w:spacing w:after="120"/>
      </w:pPr>
      <w:r>
        <w:rPr>
          <w:rFonts w:ascii="Arial" w:hAnsi="Arial"/>
          <w:b w:val="0"/>
          <w:i/>
          <w:color w:val="595959"/>
          <w:sz w:val="18"/>
        </w:rPr>
        <w:t>All food is halal-only with a vegetarian option every week.</w:t>
      </w:r>
    </w:p>
    <w:p>
      <w:pPr>
        <w:spacing w:before="240" w:after="80"/>
      </w:pPr>
      <w:r>
        <w:rPr>
          <w:rFonts w:ascii="Arial" w:hAnsi="Arial"/>
          <w:b/>
          <w:color w:val="1F4E79"/>
          <w:sz w:val="32"/>
        </w:rPr>
        <w:t>Staffing Per Saturday</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val="clear" w:fill="1F4E79"/>
          </w:tcPr>
          <w:p>
            <w:r>
              <w:rPr>
                <w:rFonts w:ascii="Arial" w:hAnsi="Arial"/>
                <w:b/>
                <w:color w:val="FFFFFF"/>
                <w:sz w:val="20"/>
              </w:rPr>
              <w:t>Role</w:t>
            </w:r>
          </w:p>
        </w:tc>
        <w:tc>
          <w:tcPr>
            <w:tcW w:type="dxa" w:w="720"/>
            <w:shd w:val="clear" w:fill="1F4E79"/>
          </w:tcPr>
          <w:p>
            <w:r>
              <w:rPr>
                <w:rFonts w:ascii="Arial" w:hAnsi="Arial"/>
                <w:b/>
                <w:color w:val="FFFFFF"/>
                <w:sz w:val="20"/>
              </w:rPr>
              <w:t>#</w:t>
            </w:r>
          </w:p>
        </w:tc>
        <w:tc>
          <w:tcPr>
            <w:tcW w:type="dxa" w:w="5040"/>
            <w:shd w:val="clear" w:fill="1F4E79"/>
          </w:tcPr>
          <w:p>
            <w:r>
              <w:rPr>
                <w:rFonts w:ascii="Arial" w:hAnsi="Arial"/>
                <w:b/>
                <w:color w:val="FFFFFF"/>
                <w:sz w:val="20"/>
              </w:rPr>
              <w:t>Notes</w:t>
            </w:r>
          </w:p>
        </w:tc>
      </w:tr>
      <w:tr>
        <w:tc>
          <w:tcPr>
            <w:tcW w:type="dxa" w:w="3600"/>
          </w:tcPr>
          <w:p>
            <w:r>
              <w:rPr>
                <w:rFonts w:ascii="Arial" w:hAnsi="Arial"/>
                <w:sz w:val="20"/>
              </w:rPr>
              <w:t>Lead Facilitator (Job Readiness)</w:t>
            </w:r>
          </w:p>
        </w:tc>
        <w:tc>
          <w:tcPr>
            <w:tcW w:type="dxa" w:w="720"/>
          </w:tcPr>
          <w:p>
            <w:r>
              <w:rPr>
                <w:rFonts w:ascii="Arial" w:hAnsi="Arial"/>
                <w:sz w:val="20"/>
              </w:rPr>
              <w:t>1</w:t>
            </w:r>
          </w:p>
        </w:tc>
        <w:tc>
          <w:tcPr>
            <w:tcW w:type="dxa" w:w="5040"/>
          </w:tcPr>
          <w:p>
            <w:r>
              <w:rPr>
                <w:rFonts w:ascii="Arial" w:hAnsi="Arial"/>
                <w:sz w:val="20"/>
              </w:rPr>
              <w:t>HR/employment background; culturally competent (contract)</w:t>
            </w:r>
          </w:p>
        </w:tc>
      </w:tr>
      <w:tr>
        <w:tc>
          <w:tcPr>
            <w:tcW w:type="dxa" w:w="3600"/>
          </w:tcPr>
          <w:p>
            <w:r>
              <w:rPr>
                <w:rFonts w:ascii="Arial" w:hAnsi="Arial"/>
                <w:sz w:val="20"/>
              </w:rPr>
              <w:t>Employment / Job-Search Coach</w:t>
            </w:r>
          </w:p>
        </w:tc>
        <w:tc>
          <w:tcPr>
            <w:tcW w:type="dxa" w:w="720"/>
          </w:tcPr>
          <w:p>
            <w:r>
              <w:rPr>
                <w:rFonts w:ascii="Arial" w:hAnsi="Arial"/>
                <w:sz w:val="20"/>
              </w:rPr>
              <w:t>1</w:t>
            </w:r>
          </w:p>
        </w:tc>
        <w:tc>
          <w:tcPr>
            <w:tcW w:type="dxa" w:w="5040"/>
          </w:tcPr>
          <w:p>
            <w:r>
              <w:rPr>
                <w:rFonts w:ascii="Arial" w:hAnsi="Arial"/>
                <w:sz w:val="20"/>
              </w:rPr>
              <w:t>1:1 resume &amp; interview coaching (contract)</w:t>
            </w:r>
          </w:p>
        </w:tc>
      </w:tr>
      <w:tr>
        <w:tc>
          <w:tcPr>
            <w:tcW w:type="dxa" w:w="3600"/>
          </w:tcPr>
          <w:p>
            <w:r>
              <w:rPr>
                <w:rFonts w:ascii="Arial" w:hAnsi="Arial"/>
                <w:sz w:val="20"/>
              </w:rPr>
              <w:t>ESL Instructor</w:t>
            </w:r>
          </w:p>
        </w:tc>
        <w:tc>
          <w:tcPr>
            <w:tcW w:type="dxa" w:w="720"/>
          </w:tcPr>
          <w:p>
            <w:r>
              <w:rPr>
                <w:rFonts w:ascii="Arial" w:hAnsi="Arial"/>
                <w:sz w:val="20"/>
              </w:rPr>
              <w:t>1</w:t>
            </w:r>
          </w:p>
        </w:tc>
        <w:tc>
          <w:tcPr>
            <w:tcW w:type="dxa" w:w="5040"/>
          </w:tcPr>
          <w:p>
            <w:r>
              <w:rPr>
                <w:rFonts w:ascii="Arial" w:hAnsi="Arial"/>
                <w:sz w:val="20"/>
              </w:rPr>
              <w:t>TESL-certified; Session 2 (contract)</w:t>
            </w:r>
          </w:p>
        </w:tc>
      </w:tr>
      <w:tr>
        <w:tc>
          <w:tcPr>
            <w:tcW w:type="dxa" w:w="3600"/>
          </w:tcPr>
          <w:p>
            <w:r>
              <w:rPr>
                <w:rFonts w:ascii="Arial" w:hAnsi="Arial"/>
                <w:sz w:val="20"/>
              </w:rPr>
              <w:t>Registered Babysitters</w:t>
            </w:r>
          </w:p>
        </w:tc>
        <w:tc>
          <w:tcPr>
            <w:tcW w:type="dxa" w:w="720"/>
          </w:tcPr>
          <w:p>
            <w:r>
              <w:rPr>
                <w:rFonts w:ascii="Arial" w:hAnsi="Arial"/>
                <w:sz w:val="20"/>
              </w:rPr>
              <w:t>3</w:t>
            </w:r>
          </w:p>
        </w:tc>
        <w:tc>
          <w:tcPr>
            <w:tcW w:type="dxa" w:w="5040"/>
          </w:tcPr>
          <w:p>
            <w:r>
              <w:rPr>
                <w:rFonts w:ascii="Arial" w:hAnsi="Arial"/>
                <w:sz w:val="20"/>
              </w:rPr>
              <w:t>Full day in the children's room</w:t>
            </w:r>
          </w:p>
        </w:tc>
      </w:tr>
      <w:tr>
        <w:tc>
          <w:tcPr>
            <w:tcW w:type="dxa" w:w="3600"/>
          </w:tcPr>
          <w:p>
            <w:r>
              <w:rPr>
                <w:rFonts w:ascii="Arial" w:hAnsi="Arial"/>
                <w:sz w:val="20"/>
              </w:rPr>
              <w:t>Program Coordinator</w:t>
            </w:r>
          </w:p>
        </w:tc>
        <w:tc>
          <w:tcPr>
            <w:tcW w:type="dxa" w:w="720"/>
          </w:tcPr>
          <w:p>
            <w:r>
              <w:rPr>
                <w:rFonts w:ascii="Arial" w:hAnsi="Arial"/>
                <w:sz w:val="20"/>
              </w:rPr>
              <w:t>1</w:t>
            </w:r>
          </w:p>
        </w:tc>
        <w:tc>
          <w:tcPr>
            <w:tcW w:type="dxa" w:w="5040"/>
          </w:tcPr>
          <w:p>
            <w:r>
              <w:rPr>
                <w:rFonts w:ascii="Arial" w:hAnsi="Arial"/>
                <w:sz w:val="20"/>
              </w:rPr>
              <w:t>Intake, logistics, food and mentor coordination (part-time contract)</w:t>
            </w:r>
          </w:p>
        </w:tc>
      </w:tr>
      <w:tr>
        <w:tc>
          <w:tcPr>
            <w:tcW w:type="dxa" w:w="3600"/>
          </w:tcPr>
          <w:p>
            <w:r>
              <w:rPr>
                <w:rFonts w:ascii="Arial" w:hAnsi="Arial"/>
                <w:sz w:val="20"/>
              </w:rPr>
              <w:t>Volunteer Support</w:t>
            </w:r>
          </w:p>
        </w:tc>
        <w:tc>
          <w:tcPr>
            <w:tcW w:type="dxa" w:w="720"/>
          </w:tcPr>
          <w:p>
            <w:r>
              <w:rPr>
                <w:rFonts w:ascii="Arial" w:hAnsi="Arial"/>
                <w:sz w:val="20"/>
              </w:rPr>
              <w:t>1–2</w:t>
            </w:r>
          </w:p>
        </w:tc>
        <w:tc>
          <w:tcPr>
            <w:tcW w:type="dxa" w:w="5040"/>
          </w:tcPr>
          <w:p>
            <w:r>
              <w:rPr>
                <w:rFonts w:ascii="Arial" w:hAnsi="Arial"/>
                <w:sz w:val="20"/>
              </w:rPr>
              <w:t>Setup, food service, sign-in</w:t>
            </w:r>
          </w:p>
        </w:tc>
      </w:tr>
      <w:tr>
        <w:tc>
          <w:tcPr>
            <w:tcW w:type="dxa" w:w="3600"/>
          </w:tcPr>
          <w:p>
            <w:r>
              <w:rPr>
                <w:rFonts w:ascii="Arial" w:hAnsi="Arial"/>
                <w:sz w:val="20"/>
              </w:rPr>
              <w:t>Mentors (rotating)</w:t>
            </w:r>
          </w:p>
        </w:tc>
        <w:tc>
          <w:tcPr>
            <w:tcW w:type="dxa" w:w="720"/>
          </w:tcPr>
          <w:p>
            <w:r>
              <w:rPr>
                <w:rFonts w:ascii="Arial" w:hAnsi="Arial"/>
                <w:sz w:val="20"/>
              </w:rPr>
              <w:t>3–4</w:t>
            </w:r>
          </w:p>
        </w:tc>
        <w:tc>
          <w:tcPr>
            <w:tcW w:type="dxa" w:w="5040"/>
          </w:tcPr>
          <w:p>
            <w:r>
              <w:rPr>
                <w:rFonts w:ascii="Arial" w:hAnsi="Arial"/>
                <w:sz w:val="20"/>
              </w:rPr>
              <w:t>Session 2, paired with small groups</w:t>
            </w:r>
          </w:p>
        </w:tc>
      </w:tr>
    </w:tbl>
    <w:p>
      <w:pPr>
        <w:spacing w:before="240" w:after="80"/>
      </w:pPr>
      <w:r>
        <w:rPr>
          <w:rFonts w:ascii="Arial" w:hAnsi="Arial"/>
          <w:b/>
          <w:color w:val="1F4E79"/>
          <w:sz w:val="32"/>
        </w:rPr>
        <w:t>Venue &amp; Partnerships</w:t>
      </w:r>
    </w:p>
    <w:p>
      <w:pPr>
        <w:spacing w:after="120"/>
      </w:pPr>
      <w:r>
        <w:rPr>
          <w:rFonts w:ascii="Arial" w:hAnsi="Arial"/>
          <w:b/>
          <w:i w:val="0"/>
          <w:sz w:val="22"/>
        </w:rPr>
        <w:t xml:space="preserve">Venue (donated): </w:t>
      </w:r>
      <w:r>
        <w:rPr>
          <w:rFonts w:ascii="Arial" w:hAnsi="Arial"/>
          <w:b w:val="0"/>
          <w:i w:val="0"/>
          <w:sz w:val="22"/>
        </w:rPr>
        <w:t>The program will run at the Somali Canadian Society hall in Calgary, provided free of charge for all 12 program Saturdays. Because the Society is a separate organization donating the use of its space, this contribution is claimed as in-kind match at fair market value (approximately $9,000 for the 12 program days). The Society will provide a letter on its letterhead confirming the donated dates and the rental value; this letter also serves as the venue titleholder's letter of support.</w:t>
      </w:r>
    </w:p>
    <w:p>
      <w:pPr>
        <w:spacing w:after="120"/>
      </w:pPr>
      <w:r>
        <w:rPr>
          <w:rFonts w:ascii="Arial" w:hAnsi="Arial"/>
          <w:b/>
          <w:i w:val="0"/>
          <w:sz w:val="22"/>
        </w:rPr>
        <w:t xml:space="preserve">Bridges partner: </w:t>
      </w:r>
      <w:r>
        <w:rPr>
          <w:rFonts w:ascii="Arial" w:hAnsi="Arial"/>
          <w:b w:val="0"/>
          <w:i w:val="0"/>
          <w:sz w:val="22"/>
        </w:rPr>
        <w:t>A separate cross-community partner — [Partner organization — confirm name] — joins the Week 8 Bridges event, bringing 5–8 women from another Calgary cultural or faith community.</w:t>
      </w:r>
    </w:p>
    <w:p>
      <w:pPr>
        <w:spacing w:before="240" w:after="80"/>
      </w:pPr>
      <w:r>
        <w:rPr>
          <w:rFonts w:ascii="Arial" w:hAnsi="Arial"/>
          <w:b/>
          <w:color w:val="1F4E79"/>
          <w:sz w:val="32"/>
        </w:rPr>
        <w:t>Bridges Cross-Community Event</w:t>
      </w:r>
    </w:p>
    <w:p>
      <w:pPr>
        <w:spacing w:after="120"/>
      </w:pPr>
      <w:r>
        <w:rPr>
          <w:rFonts w:ascii="Arial" w:hAnsi="Arial"/>
          <w:b w:val="0"/>
          <w:i w:val="0"/>
          <w:sz w:val="22"/>
        </w:rPr>
        <w:t>Around Week 8, the standard Session 2 is replaced with a joint cooking, storytelling, and skill-share circle bringing together participants and a small delegation (5–8 women) from the partner organization. It builds tolerance, anti-racism, and social inclusion; gives participants direct exposure to working women from another community; and demonstrates a genuine cross-cultural partnership to the funder. Same venue, same childcare, lunch extended to include both groups.</w:t>
      </w:r>
    </w:p>
    <w:p>
      <w:pPr>
        <w:spacing w:before="240" w:after="80"/>
      </w:pPr>
      <w:r>
        <w:rPr>
          <w:rFonts w:ascii="Arial" w:hAnsi="Arial"/>
          <w:b/>
          <w:color w:val="1F4E79"/>
          <w:sz w:val="32"/>
        </w:rPr>
        <w:t>Materials Each Participant Receives</w:t>
      </w:r>
    </w:p>
    <w:p>
      <w:pPr>
        <w:pStyle w:val="ListBullet"/>
        <w:spacing w:after="60"/>
      </w:pPr>
      <w:r>
        <w:rPr>
          <w:rFonts w:ascii="Arial" w:hAnsi="Arial"/>
          <w:b w:val="0"/>
          <w:sz w:val="22"/>
        </w:rPr>
        <w:t>ESL-adapted workbook used in both sessions</w:t>
      </w:r>
    </w:p>
    <w:p>
      <w:pPr>
        <w:pStyle w:val="ListBullet"/>
        <w:spacing w:after="60"/>
      </w:pPr>
      <w:r>
        <w:rPr>
          <w:rFonts w:ascii="Arial" w:hAnsi="Arial"/>
          <w:b w:val="0"/>
          <w:sz w:val="22"/>
        </w:rPr>
        <w:t>Resume and cover-letter templates (printed and digital)</w:t>
      </w:r>
    </w:p>
    <w:p>
      <w:pPr>
        <w:pStyle w:val="ListBullet"/>
        <w:spacing w:after="60"/>
      </w:pPr>
      <w:r>
        <w:rPr>
          <w:rFonts w:ascii="Arial" w:hAnsi="Arial"/>
          <w:b w:val="0"/>
          <w:sz w:val="22"/>
        </w:rPr>
        <w:t>Access to a shared program laptop/tablet for job-search and digital-literacy practice</w:t>
      </w:r>
    </w:p>
    <w:p>
      <w:pPr>
        <w:pStyle w:val="ListBullet"/>
        <w:spacing w:after="60"/>
      </w:pPr>
      <w:r>
        <w:rPr>
          <w:rFonts w:ascii="Arial" w:hAnsi="Arial"/>
          <w:b w:val="0"/>
          <w:sz w:val="22"/>
        </w:rPr>
        <w:t>Bus pass valid for the 12 weeks of the program</w:t>
      </w:r>
    </w:p>
    <w:p>
      <w:pPr>
        <w:pStyle w:val="ListBullet"/>
        <w:spacing w:after="60"/>
      </w:pPr>
      <w:r>
        <w:rPr>
          <w:rFonts w:ascii="Arial" w:hAnsi="Arial"/>
          <w:b w:val="0"/>
          <w:sz w:val="22"/>
        </w:rPr>
        <w:t>Mentor introduction packet (Week 6)</w:t>
      </w:r>
    </w:p>
    <w:p>
      <w:pPr>
        <w:pStyle w:val="ListBullet"/>
        <w:spacing w:after="60"/>
      </w:pPr>
      <w:r>
        <w:rPr>
          <w:rFonts w:ascii="Arial" w:hAnsi="Arial"/>
          <w:b w:val="0"/>
          <w:sz w:val="22"/>
        </w:rPr>
        <w:t>Certificate of completion (Week 12)</w:t>
      </w:r>
    </w:p>
    <w:p>
      <w:pPr>
        <w:spacing w:before="240" w:after="80"/>
      </w:pPr>
      <w:r>
        <w:rPr>
          <w:rFonts w:ascii="Arial" w:hAnsi="Arial"/>
          <w:b/>
          <w:color w:val="1F4E79"/>
          <w:sz w:val="32"/>
        </w:rPr>
        <w:t>Outcomes &amp; Measures</w:t>
      </w:r>
    </w:p>
    <w:tbl>
      <w:tblPr>
        <w:tblStyle w:val="TableGrid"/>
        <w:tblW w:type="auto" w:w="0"/>
        <w:tblLayout w:type="fixed"/>
        <w:tblLook w:firstColumn="1" w:firstRow="1" w:lastColumn="0" w:lastRow="0" w:noHBand="0" w:noVBand="1" w:val="04A0"/>
      </w:tblPr>
      <w:tblGrid>
        <w:gridCol w:w="4680"/>
        <w:gridCol w:w="4680"/>
      </w:tblGrid>
      <w:tr>
        <w:tc>
          <w:tcPr>
            <w:tcW w:type="dxa" w:w="6768"/>
            <w:shd w:val="clear" w:fill="1F4E79"/>
          </w:tcPr>
          <w:p>
            <w:r>
              <w:rPr>
                <w:rFonts w:ascii="Arial" w:hAnsi="Arial"/>
                <w:b/>
                <w:color w:val="FFFFFF"/>
                <w:sz w:val="20"/>
              </w:rPr>
              <w:t>Measure</w:t>
            </w:r>
          </w:p>
        </w:tc>
        <w:tc>
          <w:tcPr>
            <w:tcW w:type="dxa" w:w="2592"/>
            <w:shd w:val="clear" w:fill="1F4E79"/>
          </w:tcPr>
          <w:p>
            <w:r>
              <w:rPr>
                <w:rFonts w:ascii="Arial" w:hAnsi="Arial"/>
                <w:b/>
                <w:color w:val="FFFFFF"/>
                <w:sz w:val="20"/>
              </w:rPr>
              <w:t>Target</w:t>
            </w:r>
          </w:p>
        </w:tc>
      </w:tr>
      <w:tr>
        <w:tc>
          <w:tcPr>
            <w:tcW w:type="dxa" w:w="6768"/>
          </w:tcPr>
          <w:p>
            <w:r>
              <w:rPr>
                <w:rFonts w:ascii="Arial" w:hAnsi="Arial"/>
                <w:sz w:val="20"/>
              </w:rPr>
              <w:t>Women completing the 12-week cohort</w:t>
            </w:r>
          </w:p>
        </w:tc>
        <w:tc>
          <w:tcPr>
            <w:tcW w:type="dxa" w:w="2592"/>
          </w:tcPr>
          <w:p>
            <w:r>
              <w:rPr>
                <w:rFonts w:ascii="Arial" w:hAnsi="Arial"/>
                <w:sz w:val="20"/>
              </w:rPr>
              <w:t>13 of 15</w:t>
            </w:r>
          </w:p>
        </w:tc>
      </w:tr>
      <w:tr>
        <w:tc>
          <w:tcPr>
            <w:tcW w:type="dxa" w:w="6768"/>
          </w:tcPr>
          <w:p>
            <w:r>
              <w:rPr>
                <w:rFonts w:ascii="Arial" w:hAnsi="Arial"/>
                <w:sz w:val="20"/>
              </w:rPr>
              <w:t>Women with a finalized resume by program end</w:t>
            </w:r>
          </w:p>
        </w:tc>
        <w:tc>
          <w:tcPr>
            <w:tcW w:type="dxa" w:w="2592"/>
          </w:tcPr>
          <w:p>
            <w:r>
              <w:rPr>
                <w:rFonts w:ascii="Arial" w:hAnsi="Arial"/>
                <w:sz w:val="20"/>
              </w:rPr>
              <w:t>15 of 15</w:t>
            </w:r>
          </w:p>
        </w:tc>
      </w:tr>
      <w:tr>
        <w:tc>
          <w:tcPr>
            <w:tcW w:type="dxa" w:w="6768"/>
          </w:tcPr>
          <w:p>
            <w:r>
              <w:rPr>
                <w:rFonts w:ascii="Arial" w:hAnsi="Arial"/>
                <w:sz w:val="20"/>
              </w:rPr>
              <w:t>Women completing at least one mock interview</w:t>
            </w:r>
          </w:p>
        </w:tc>
        <w:tc>
          <w:tcPr>
            <w:tcW w:type="dxa" w:w="2592"/>
          </w:tcPr>
          <w:p>
            <w:r>
              <w:rPr>
                <w:rFonts w:ascii="Arial" w:hAnsi="Arial"/>
                <w:sz w:val="20"/>
              </w:rPr>
              <w:t>13 of 15</w:t>
            </w:r>
          </w:p>
        </w:tc>
      </w:tr>
      <w:tr>
        <w:tc>
          <w:tcPr>
            <w:tcW w:type="dxa" w:w="6768"/>
          </w:tcPr>
          <w:p>
            <w:r>
              <w:rPr>
                <w:rFonts w:ascii="Arial" w:hAnsi="Arial"/>
                <w:sz w:val="20"/>
              </w:rPr>
              <w:t>Women applying to at least one job by program end</w:t>
            </w:r>
          </w:p>
        </w:tc>
        <w:tc>
          <w:tcPr>
            <w:tcW w:type="dxa" w:w="2592"/>
          </w:tcPr>
          <w:p>
            <w:r>
              <w:rPr>
                <w:rFonts w:ascii="Arial" w:hAnsi="Arial"/>
                <w:sz w:val="20"/>
              </w:rPr>
              <w:t>10 of 15</w:t>
            </w:r>
          </w:p>
        </w:tc>
      </w:tr>
      <w:tr>
        <w:tc>
          <w:tcPr>
            <w:tcW w:type="dxa" w:w="6768"/>
          </w:tcPr>
          <w:p>
            <w:r>
              <w:rPr>
                <w:rFonts w:ascii="Arial" w:hAnsi="Arial"/>
                <w:sz w:val="20"/>
              </w:rPr>
              <w:t>Mentor relationships established</w:t>
            </w:r>
          </w:p>
        </w:tc>
        <w:tc>
          <w:tcPr>
            <w:tcW w:type="dxa" w:w="2592"/>
          </w:tcPr>
          <w:p>
            <w:r>
              <w:rPr>
                <w:rFonts w:ascii="Arial" w:hAnsi="Arial"/>
                <w:sz w:val="20"/>
              </w:rPr>
              <w:t>15</w:t>
            </w:r>
          </w:p>
        </w:tc>
      </w:tr>
      <w:tr>
        <w:tc>
          <w:tcPr>
            <w:tcW w:type="dxa" w:w="6768"/>
          </w:tcPr>
          <w:p>
            <w:r>
              <w:rPr>
                <w:rFonts w:ascii="Arial" w:hAnsi="Arial"/>
                <w:sz w:val="20"/>
              </w:rPr>
              <w:t>Children safely cared for across the cohort</w:t>
            </w:r>
          </w:p>
        </w:tc>
        <w:tc>
          <w:tcPr>
            <w:tcW w:type="dxa" w:w="2592"/>
          </w:tcPr>
          <w:p>
            <w:r>
              <w:rPr>
                <w:rFonts w:ascii="Arial" w:hAnsi="Arial"/>
                <w:sz w:val="20"/>
              </w:rPr>
              <w:t>15–25</w:t>
            </w:r>
          </w:p>
        </w:tc>
      </w:tr>
      <w:tr>
        <w:tc>
          <w:tcPr>
            <w:tcW w:type="dxa" w:w="6768"/>
          </w:tcPr>
          <w:p>
            <w:r>
              <w:rPr>
                <w:rFonts w:ascii="Arial" w:hAnsi="Arial"/>
                <w:sz w:val="20"/>
              </w:rPr>
              <w:t>Attendance rate per participant</w:t>
            </w:r>
          </w:p>
        </w:tc>
        <w:tc>
          <w:tcPr>
            <w:tcW w:type="dxa" w:w="2592"/>
          </w:tcPr>
          <w:p>
            <w:r>
              <w:rPr>
                <w:rFonts w:ascii="Arial" w:hAnsi="Arial"/>
                <w:sz w:val="20"/>
              </w:rPr>
              <w:t>≥ 75%</w:t>
            </w:r>
          </w:p>
        </w:tc>
      </w:tr>
      <w:tr>
        <w:tc>
          <w:tcPr>
            <w:tcW w:type="dxa" w:w="6768"/>
          </w:tcPr>
          <w:p>
            <w:r>
              <w:rPr>
                <w:rFonts w:ascii="Arial" w:hAnsi="Arial"/>
                <w:sz w:val="20"/>
              </w:rPr>
              <w:t>Confidence in workplace English</w:t>
            </w:r>
          </w:p>
        </w:tc>
        <w:tc>
          <w:tcPr>
            <w:tcW w:type="dxa" w:w="2592"/>
          </w:tcPr>
          <w:p>
            <w:r>
              <w:rPr>
                <w:rFonts w:ascii="Arial" w:hAnsi="Arial"/>
                <w:sz w:val="20"/>
              </w:rPr>
              <w:t>Pre/post survey gain</w:t>
            </w:r>
          </w:p>
        </w:tc>
      </w:tr>
      <w:tr>
        <w:tc>
          <w:tcPr>
            <w:tcW w:type="dxa" w:w="6768"/>
          </w:tcPr>
          <w:p>
            <w:r>
              <w:rPr>
                <w:rFonts w:ascii="Arial" w:hAnsi="Arial"/>
                <w:sz w:val="20"/>
              </w:rPr>
              <w:t>Bridges event participation</w:t>
            </w:r>
          </w:p>
        </w:tc>
        <w:tc>
          <w:tcPr>
            <w:tcW w:type="dxa" w:w="2592"/>
          </w:tcPr>
          <w:p>
            <w:r>
              <w:rPr>
                <w:rFonts w:ascii="Arial" w:hAnsi="Arial"/>
                <w:sz w:val="20"/>
              </w:rPr>
              <w:t>5–8 partner-community guests + reflection</w:t>
            </w:r>
          </w:p>
        </w:tc>
      </w:tr>
    </w:tbl>
    <w:p>
      <w:pPr>
        <w:spacing w:before="240" w:after="80"/>
      </w:pPr>
      <w:r>
        <w:rPr>
          <w:rFonts w:ascii="Arial" w:hAnsi="Arial"/>
          <w:b/>
          <w:color w:val="1F4E79"/>
          <w:sz w:val="32"/>
        </w:rPr>
        <w:t>Budget Summary &amp; Matching Plan</w:t>
      </w:r>
    </w:p>
    <w:tbl>
      <w:tblPr>
        <w:tblStyle w:val="TableGrid"/>
        <w:tblW w:type="auto" w:w="0"/>
        <w:tblLayout w:type="fixed"/>
        <w:tblLook w:firstColumn="1" w:firstRow="1" w:lastColumn="0" w:lastRow="0" w:noHBand="0" w:noVBand="1" w:val="04A0"/>
      </w:tblPr>
      <w:tblGrid>
        <w:gridCol w:w="4680"/>
        <w:gridCol w:w="4680"/>
      </w:tblGrid>
      <w:tr>
        <w:tc>
          <w:tcPr>
            <w:tcW w:type="dxa" w:w="6192"/>
            <w:shd w:val="clear" w:fill="EDEDED"/>
          </w:tcPr>
          <w:p>
            <w:r>
              <w:rPr>
                <w:rFonts w:ascii="Arial" w:hAnsi="Arial"/>
                <w:b/>
                <w:sz w:val="20"/>
              </w:rPr>
              <w:t>CIP request</w:t>
            </w:r>
          </w:p>
        </w:tc>
        <w:tc>
          <w:tcPr>
            <w:tcW w:type="dxa" w:w="3168"/>
          </w:tcPr>
          <w:p>
            <w:r>
              <w:rPr>
                <w:rFonts w:ascii="Arial" w:hAnsi="Arial"/>
                <w:sz w:val="20"/>
              </w:rPr>
              <w:t>$24,000</w:t>
            </w:r>
          </w:p>
        </w:tc>
      </w:tr>
      <w:tr>
        <w:tc>
          <w:tcPr>
            <w:tcW w:type="dxa" w:w="6192"/>
            <w:shd w:val="clear" w:fill="EDEDED"/>
          </w:tcPr>
          <w:p>
            <w:r>
              <w:rPr>
                <w:rFonts w:ascii="Arial" w:hAnsi="Arial"/>
                <w:b/>
                <w:sz w:val="20"/>
              </w:rPr>
              <w:t>Sahan cash match</w:t>
            </w:r>
          </w:p>
        </w:tc>
        <w:tc>
          <w:tcPr>
            <w:tcW w:type="dxa" w:w="3168"/>
          </w:tcPr>
          <w:p>
            <w:r>
              <w:rPr>
                <w:rFonts w:ascii="Arial" w:hAnsi="Arial"/>
                <w:sz w:val="20"/>
              </w:rPr>
              <w:t>$11,000  (of $17,000 on hand; $6,000 reserve retained)</w:t>
            </w:r>
          </w:p>
        </w:tc>
      </w:tr>
      <w:tr>
        <w:tc>
          <w:tcPr>
            <w:tcW w:type="dxa" w:w="6192"/>
            <w:shd w:val="clear" w:fill="EDEDED"/>
          </w:tcPr>
          <w:p>
            <w:r>
              <w:rPr>
                <w:rFonts w:ascii="Arial" w:hAnsi="Arial"/>
                <w:b/>
                <w:sz w:val="20"/>
              </w:rPr>
              <w:t>In-kind match</w:t>
            </w:r>
          </w:p>
        </w:tc>
        <w:tc>
          <w:tcPr>
            <w:tcW w:type="dxa" w:w="3168"/>
          </w:tcPr>
          <w:p>
            <w:r>
              <w:rPr>
                <w:rFonts w:ascii="Arial" w:hAnsi="Arial"/>
                <w:sz w:val="20"/>
              </w:rPr>
              <w:t>$15,960  (donated venue + mentor &amp; volunteer hours)</w:t>
            </w:r>
          </w:p>
        </w:tc>
      </w:tr>
      <w:tr>
        <w:tc>
          <w:tcPr>
            <w:tcW w:type="dxa" w:w="6192"/>
            <w:shd w:val="clear" w:fill="EDEDED"/>
          </w:tcPr>
          <w:p>
            <w:r>
              <w:rPr>
                <w:rFonts w:ascii="Arial" w:hAnsi="Arial"/>
                <w:b/>
                <w:sz w:val="20"/>
              </w:rPr>
              <w:t>Total matching</w:t>
            </w:r>
          </w:p>
        </w:tc>
        <w:tc>
          <w:tcPr>
            <w:tcW w:type="dxa" w:w="3168"/>
          </w:tcPr>
          <w:p>
            <w:r>
              <w:rPr>
                <w:rFonts w:ascii="Arial" w:hAnsi="Arial"/>
                <w:sz w:val="20"/>
              </w:rPr>
              <w:t>$26,960  (112% of request)</w:t>
            </w:r>
          </w:p>
        </w:tc>
      </w:tr>
      <w:tr>
        <w:tc>
          <w:tcPr>
            <w:tcW w:type="dxa" w:w="6192"/>
            <w:shd w:val="clear" w:fill="EDEDED"/>
          </w:tcPr>
          <w:p>
            <w:r>
              <w:rPr>
                <w:rFonts w:ascii="Arial" w:hAnsi="Arial"/>
                <w:b/>
                <w:sz w:val="20"/>
              </w:rPr>
              <w:t>Total project cost</w:t>
            </w:r>
          </w:p>
        </w:tc>
        <w:tc>
          <w:tcPr>
            <w:tcW w:type="dxa" w:w="3168"/>
          </w:tcPr>
          <w:p>
            <w:r>
              <w:rPr>
                <w:rFonts w:ascii="Arial" w:hAnsi="Arial"/>
                <w:sz w:val="20"/>
              </w:rPr>
              <w:t>$50,960</w:t>
            </w:r>
          </w:p>
        </w:tc>
      </w:tr>
      <w:tr>
        <w:tc>
          <w:tcPr>
            <w:tcW w:type="dxa" w:w="6192"/>
            <w:shd w:val="clear" w:fill="EDEDED"/>
          </w:tcPr>
          <w:p>
            <w:r>
              <w:rPr>
                <w:rFonts w:ascii="Arial" w:hAnsi="Arial"/>
                <w:b/>
                <w:sz w:val="20"/>
              </w:rPr>
              <w:t>CIP share of total</w:t>
            </w:r>
          </w:p>
        </w:tc>
        <w:tc>
          <w:tcPr>
            <w:tcW w:type="dxa" w:w="3168"/>
          </w:tcPr>
          <w:p>
            <w:r>
              <w:rPr>
                <w:rFonts w:ascii="Arial" w:hAnsi="Arial"/>
                <w:sz w:val="20"/>
              </w:rPr>
              <w:t>47.1%  (under the 50% cap)</w:t>
            </w:r>
          </w:p>
        </w:tc>
      </w:tr>
      <w:tr>
        <w:tc>
          <w:tcPr>
            <w:tcW w:type="dxa" w:w="6192"/>
            <w:shd w:val="clear" w:fill="EDEDED"/>
          </w:tcPr>
          <w:p>
            <w:r>
              <w:rPr>
                <w:rFonts w:ascii="Arial" w:hAnsi="Arial"/>
                <w:b/>
                <w:sz w:val="20"/>
              </w:rPr>
              <w:t>Match composition</w:t>
            </w:r>
          </w:p>
        </w:tc>
        <w:tc>
          <w:tcPr>
            <w:tcW w:type="dxa" w:w="3168"/>
          </w:tcPr>
          <w:p>
            <w:r>
              <w:rPr>
                <w:rFonts w:ascii="Arial" w:hAnsi="Arial"/>
                <w:sz w:val="20"/>
              </w:rPr>
              <w:t>41% cash / 59% in-kind</w:t>
            </w:r>
          </w:p>
        </w:tc>
      </w:tr>
    </w:tbl>
    <w:p>
      <w:pPr>
        <w:spacing w:after="120"/>
      </w:pPr>
      <w:r>
        <w:rPr>
          <w:rFonts w:ascii="Arial" w:hAnsi="Arial"/>
          <w:b w:val="0"/>
          <w:i w:val="0"/>
          <w:sz w:val="22"/>
        </w:rPr>
        <w:t>Sahan commits $11,000 in cash to the project — retaining a $6,000 operating reserve out of the $17,000 on hand. Core program costs (facilitator, coach, ESL instructor, coordinator, babysitters, food) stay funded in full; the remaining cash covers a trimmed set of enhancements — fewer laptops, transit, children's supplies, mentor honoraria, marketing, the graduation event, and office supplies. In-kind is kept lean and defensible — the donated venue plus mentor and program-day volunteer hours ($15,960) — bringing matching to $26,960, or 112% of the request, with CIP's share at 47.1% of total cost. CIP requires the match to be at least 100% of the ask; with cash now lower, in-kind carries more of that requirement (the donated hall alone would still meet the floor). The mentor and volunteer hours are retained as a buffer in case the hall is valued below fair market value. The match is now 59% in-kind / 41% cash — still a meaningful cash signal of organizational commitment, with a $6,000 reserve preserved for day-to-day operations. Facilitators and the coordinator are engaged as contractors, so the program avoids the requirement that new staff wages be matched with cash. Full line-item detail is in the accompanying budget spreadsheet.</w:t>
      </w:r>
    </w:p>
    <w:p>
      <w:pPr>
        <w:spacing w:after="120"/>
      </w:pPr>
      <w:r>
        <w:rPr>
          <w:rFonts w:ascii="Arial" w:hAnsi="Arial"/>
          <w:b/>
          <w:i w:val="0"/>
          <w:color w:val="C00000"/>
          <w:sz w:val="22"/>
        </w:rPr>
        <w:t xml:space="preserve">Cash reserve: </w:t>
      </w:r>
      <w:r>
        <w:rPr>
          <w:rFonts w:ascii="Arial" w:hAnsi="Arial"/>
          <w:b w:val="0"/>
          <w:i w:val="0"/>
          <w:color w:val="C00000"/>
          <w:sz w:val="22"/>
        </w:rPr>
        <w:t>capping cash at $11,000 (of $17,000 on hand) preserves a $6,000 operating reserve for Sahan during the project. The donated-venue claim still depends on documentation — confirm that CIP values donated facility space at fair market value, not a standardized hourly rate.</w:t>
      </w:r>
    </w:p>
    <w:p>
      <w:pPr>
        <w:spacing w:before="240" w:after="80"/>
      </w:pPr>
      <w:r>
        <w:rPr>
          <w:rFonts w:ascii="Arial" w:hAnsi="Arial"/>
          <w:b/>
          <w:color w:val="1F4E79"/>
          <w:sz w:val="32"/>
        </w:rPr>
        <w:t>Why This Project Fits CIP</w:t>
      </w:r>
    </w:p>
    <w:p>
      <w:pPr>
        <w:pStyle w:val="ListBullet"/>
        <w:spacing w:after="60"/>
      </w:pPr>
      <w:r>
        <w:rPr>
          <w:rFonts w:ascii="Arial" w:hAnsi="Arial"/>
          <w:b w:val="0"/>
          <w:sz w:val="22"/>
        </w:rPr>
        <w:t>New initiative in Calgary — not an ongoing or status-quo program</w:t>
      </w:r>
    </w:p>
    <w:p>
      <w:pPr>
        <w:pStyle w:val="ListBullet"/>
        <w:spacing w:after="60"/>
      </w:pPr>
      <w:r>
        <w:rPr>
          <w:rFonts w:ascii="Arial" w:hAnsi="Arial"/>
          <w:b w:val="0"/>
          <w:sz w:val="22"/>
        </w:rPr>
        <w:t>Meaningful cash co-investment (41% of the match), plus a signed in-kind venue letter, signals organizational commitment</w:t>
      </w:r>
    </w:p>
    <w:p>
      <w:pPr>
        <w:pStyle w:val="ListBullet"/>
        <w:spacing w:after="60"/>
      </w:pPr>
      <w:r>
        <w:rPr>
          <w:rFonts w:ascii="Arial" w:hAnsi="Arial"/>
          <w:b w:val="0"/>
          <w:sz w:val="22"/>
        </w:rPr>
        <w:t>Gender equity — women-only, addressing domestic-labour and isolation barriers</w:t>
      </w:r>
    </w:p>
    <w:p>
      <w:pPr>
        <w:pStyle w:val="ListBullet"/>
        <w:spacing w:after="60"/>
      </w:pPr>
      <w:r>
        <w:rPr>
          <w:rFonts w:ascii="Arial" w:hAnsi="Arial"/>
          <w:b w:val="0"/>
          <w:sz w:val="22"/>
        </w:rPr>
        <w:t>Newcomer integration and employment outcomes (resumes, interviews, workplace English, digital literacy)</w:t>
      </w:r>
    </w:p>
    <w:p>
      <w:pPr>
        <w:pStyle w:val="ListBullet"/>
        <w:spacing w:after="60"/>
      </w:pPr>
      <w:r>
        <w:rPr>
          <w:rFonts w:ascii="Arial" w:hAnsi="Arial"/>
          <w:b w:val="0"/>
          <w:sz w:val="22"/>
        </w:rPr>
        <w:t>Social inclusion and anti-racism through the cross-community Bridges component</w:t>
      </w:r>
    </w:p>
    <w:p>
      <w:pPr>
        <w:pStyle w:val="ListBullet"/>
        <w:spacing w:after="60"/>
      </w:pPr>
      <w:r>
        <w:rPr>
          <w:rFonts w:ascii="Arial" w:hAnsi="Arial"/>
          <w:b w:val="0"/>
          <w:sz w:val="22"/>
        </w:rPr>
        <w:t>Serves multiple equity-deserving groups: newcomers, women, racialized and low-income people, and children</w:t>
      </w:r>
    </w:p>
    <w:p>
      <w:pPr>
        <w:pStyle w:val="ListBullet"/>
        <w:spacing w:after="60"/>
      </w:pPr>
      <w:r>
        <w:rPr>
          <w:rFonts w:ascii="Arial" w:hAnsi="Arial"/>
          <w:b w:val="0"/>
          <w:sz w:val="22"/>
        </w:rPr>
        <w:t>Addresses a real, documented barrier — childcare is the reason many single mothers miss existing programs</w:t>
      </w:r>
    </w:p>
    <w:p>
      <w:pPr>
        <w:pStyle w:val="ListBullet"/>
        <w:spacing w:after="60"/>
      </w:pPr>
      <w:r>
        <w:rPr>
          <w:rFonts w:ascii="Arial" w:hAnsi="Arial"/>
          <w:b w:val="0"/>
          <w:sz w:val="22"/>
        </w:rPr>
        <w:t>Registered/certified childcare signals professional duty of care, not informal minding</w:t>
      </w:r>
    </w:p>
    <w:p>
      <w:pPr>
        <w:spacing w:before="240" w:after="80"/>
      </w:pPr>
      <w:r>
        <w:rPr>
          <w:rFonts w:ascii="Arial" w:hAnsi="Arial"/>
          <w:b/>
          <w:color w:val="1F4E79"/>
          <w:sz w:val="32"/>
        </w:rPr>
        <w:t>Before You Submit — Confirm These</w:t>
      </w:r>
    </w:p>
    <w:p>
      <w:pPr>
        <w:pStyle w:val="ListBullet"/>
        <w:spacing w:after="60"/>
      </w:pPr>
      <w:r>
        <w:rPr>
          <w:rFonts w:ascii="Arial" w:hAnsi="Arial"/>
          <w:b/>
          <w:sz w:val="22"/>
        </w:rPr>
        <w:t xml:space="preserve">Reserve: </w:t>
      </w:r>
      <w:r>
        <w:rPr>
          <w:rFonts w:ascii="Arial" w:hAnsi="Arial"/>
          <w:b w:val="0"/>
          <w:sz w:val="22"/>
        </w:rPr>
        <w:t>confirmed — Sahan retains a $6,000 operating reserve by capping its cash match at $11,000 (of $17,000 on hand).</w:t>
      </w:r>
    </w:p>
    <w:p>
      <w:pPr>
        <w:pStyle w:val="ListBullet"/>
        <w:spacing w:after="60"/>
      </w:pPr>
      <w:r>
        <w:rPr>
          <w:rFonts w:ascii="Arial" w:hAnsi="Arial"/>
          <w:b/>
          <w:sz w:val="22"/>
        </w:rPr>
        <w:t xml:space="preserve">Venue letter: </w:t>
      </w:r>
      <w:r>
        <w:rPr>
          <w:rFonts w:ascii="Arial" w:hAnsi="Arial"/>
          <w:b w:val="0"/>
          <w:sz w:val="22"/>
        </w:rPr>
        <w:t>obtain the Somali Canadian Society letter on letterhead, listing all 12 program dates and stating the donated rental value (~$9,000); it doubles as the venue titleholder letter of support.</w:t>
      </w:r>
    </w:p>
    <w:p>
      <w:pPr>
        <w:pStyle w:val="ListBullet"/>
        <w:spacing w:after="60"/>
      </w:pPr>
      <w:r>
        <w:rPr>
          <w:rFonts w:ascii="Arial" w:hAnsi="Arial"/>
          <w:b/>
          <w:sz w:val="22"/>
        </w:rPr>
        <w:t xml:space="preserve">In-kind valuation: </w:t>
      </w:r>
      <w:r>
        <w:rPr>
          <w:rFonts w:ascii="Arial" w:hAnsi="Arial"/>
          <w:b w:val="0"/>
          <w:sz w:val="22"/>
        </w:rPr>
        <w:t>confirm with Community Grants that donated facility space is valued at fair market value; if only a standardized rate applies, adjust the in-kind figure.</w:t>
      </w:r>
    </w:p>
    <w:p>
      <w:pPr>
        <w:pStyle w:val="ListBullet"/>
        <w:spacing w:after="60"/>
      </w:pPr>
      <w:r>
        <w:rPr>
          <w:rFonts w:ascii="Arial" w:hAnsi="Arial"/>
          <w:b/>
          <w:sz w:val="22"/>
        </w:rPr>
        <w:t xml:space="preserve">Eligible applicant: </w:t>
      </w:r>
      <w:r>
        <w:rPr>
          <w:rFonts w:ascii="Arial" w:hAnsi="Arial"/>
          <w:b w:val="0"/>
          <w:sz w:val="22"/>
        </w:rPr>
        <w:t>confirm Sahan Heritage Foundation's registration type and that it has operated ≥ 1 year with an active Alberta address.</w:t>
      </w:r>
    </w:p>
    <w:p>
      <w:pPr>
        <w:pStyle w:val="ListBullet"/>
        <w:spacing w:after="60"/>
      </w:pPr>
      <w:r>
        <w:rPr>
          <w:rFonts w:ascii="Arial" w:hAnsi="Arial"/>
          <w:b/>
          <w:sz w:val="22"/>
        </w:rPr>
        <w:t xml:space="preserve">Mission/mandate: </w:t>
      </w:r>
      <w:r>
        <w:rPr>
          <w:rFonts w:ascii="Arial" w:hAnsi="Arial"/>
          <w:b w:val="0"/>
          <w:sz w:val="22"/>
        </w:rPr>
        <w:t>insert Sahan's own registered mission — do not reuse KULAN's wording.</w:t>
      </w:r>
    </w:p>
    <w:p>
      <w:pPr>
        <w:pStyle w:val="ListBullet"/>
        <w:spacing w:after="60"/>
      </w:pPr>
      <w:r>
        <w:rPr>
          <w:rFonts w:ascii="Arial" w:hAnsi="Arial"/>
          <w:b/>
          <w:sz w:val="22"/>
        </w:rPr>
        <w:t xml:space="preserve">Bridges partner: </w:t>
      </w:r>
      <w:r>
        <w:rPr>
          <w:rFonts w:ascii="Arial" w:hAnsi="Arial"/>
          <w:b w:val="0"/>
          <w:sz w:val="22"/>
        </w:rPr>
        <w:t>name the Calgary cross-community partner and obtain a letter of support.</w:t>
      </w:r>
    </w:p>
    <w:p>
      <w:pPr>
        <w:pStyle w:val="ListBullet"/>
        <w:spacing w:after="60"/>
      </w:pPr>
      <w:r>
        <w:rPr>
          <w:rFonts w:ascii="Arial" w:hAnsi="Arial"/>
          <w:b/>
          <w:sz w:val="22"/>
        </w:rPr>
        <w:t xml:space="preserve">Quotes: </w:t>
      </w:r>
      <w:r>
        <w:rPr>
          <w:rFonts w:ascii="Arial" w:hAnsi="Arial"/>
          <w:b w:val="0"/>
          <w:sz w:val="22"/>
        </w:rPr>
        <w:t>obtain written estimates for laptops/technology, catering, transit, and materials.</w:t>
      </w:r>
    </w:p>
    <w:p>
      <w:pPr>
        <w:pStyle w:val="ListBullet"/>
        <w:spacing w:after="60"/>
      </w:pPr>
      <w:r>
        <w:rPr>
          <w:rFonts w:ascii="Arial" w:hAnsi="Arial"/>
          <w:b/>
          <w:sz w:val="22"/>
        </w:rPr>
        <w:t xml:space="preserve">In-kind letters: </w:t>
      </w:r>
      <w:r>
        <w:rPr>
          <w:rFonts w:ascii="Arial" w:hAnsi="Arial"/>
          <w:b w:val="0"/>
          <w:sz w:val="22"/>
        </w:rPr>
        <w:t>collect letters on company letterhead for mentors, volunteers, the Bridges partner, and donated goods.</w:t>
      </w:r>
    </w:p>
    <w:p>
      <w:pPr>
        <w:pStyle w:val="ListBullet"/>
        <w:spacing w:after="60"/>
      </w:pPr>
      <w:r>
        <w:rPr>
          <w:rFonts w:ascii="Arial" w:hAnsi="Arial"/>
          <w:b/>
          <w:sz w:val="22"/>
        </w:rPr>
        <w:t xml:space="preserve">Keep staff as contractors: </w:t>
      </w:r>
      <w:r>
        <w:rPr>
          <w:rFonts w:ascii="Arial" w:hAnsi="Arial"/>
          <w:b w:val="0"/>
          <w:sz w:val="22"/>
        </w:rPr>
        <w:t>avoids the cash-match-for-wages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