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si-ultimate-enterprise"/>
    <w:p>
      <w:pPr>
        <w:pStyle w:val="Heading1"/>
      </w:pPr>
      <w:r>
        <w:t xml:space="preserve">CSI Ultimate Enterprise</w:t>
      </w:r>
    </w:p>
    <w:bookmarkStart w:id="20" w:name="official-enterprise-constitution"/>
    <w:p>
      <w:pPr>
        <w:pStyle w:val="Heading2"/>
      </w:pPr>
      <w:r>
        <w:t xml:space="preserve">Official Enterprise Constitution</w:t>
      </w:r>
    </w:p>
    <w:bookmarkEnd w:id="20"/>
    <w:bookmarkEnd w:id="21"/>
    <w:bookmarkStart w:id="23" w:name="volume-06-part-06"/>
    <w:p>
      <w:pPr>
        <w:pStyle w:val="Heading1"/>
      </w:pPr>
      <w:r>
        <w:t xml:space="preserve">Volume 06 (Part 06)</w:t>
      </w:r>
    </w:p>
    <w:bookmarkStart w:id="22" w:name="enterprise-standards"/>
    <w:p>
      <w:pPr>
        <w:pStyle w:val="Heading2"/>
      </w:pPr>
      <w:r>
        <w:t xml:space="preserve">Enterprise Standards</w:t>
      </w:r>
    </w:p>
    <w:p>
      <w:pPr>
        <w:pStyle w:val="FirstParagraph"/>
      </w:pPr>
      <w:r>
        <w:t xml:space="preserve">Version: 3.0</w:t>
      </w:r>
    </w:p>
    <w:p>
      <w:pPr>
        <w:pStyle w:val="BodyText"/>
      </w:pPr>
      <w:r>
        <w:t xml:space="preserve">Classification: Enterprise Standards Authority</w:t>
      </w:r>
    </w:p>
    <w:p>
      <w:pPr>
        <w:pStyle w:val="BodyText"/>
      </w:pPr>
      <w:r>
        <w:t xml:space="preserve">Status: Approved Draft</w:t>
      </w:r>
    </w:p>
    <w:p>
      <w:pPr>
        <w:pStyle w:val="BodyText"/>
      </w:pPr>
      <w:r>
        <w:t xml:space="preserve">Document Authority: Enterprise Standards Office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hapter-31"/>
    <w:p>
      <w:pPr>
        <w:pStyle w:val="Heading1"/>
      </w:pPr>
      <w:r>
        <w:t xml:space="preserve">CHAPTER 31</w:t>
      </w:r>
    </w:p>
    <w:bookmarkEnd w:id="24"/>
    <w:bookmarkStart w:id="27" w:name="enterprise-quality-standards"/>
    <w:p>
      <w:pPr>
        <w:pStyle w:val="Heading1"/>
      </w:pPr>
      <w:r>
        <w:t xml:space="preserve">ENTERPRISE QUALITY STANDARDS</w:t>
      </w:r>
    </w:p>
    <w:bookmarkStart w:id="25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Establish enterprise-wide quality requirements.</w:t>
      </w:r>
    </w:p>
    <w:p>
      <w:r>
        <w:pict>
          <v:rect style="width:0;height:1.5pt" o:hralign="center" o:hrstd="t" o:hr="t"/>
        </w:pict>
      </w:r>
    </w:p>
    <w:bookmarkEnd w:id="25"/>
    <w:bookmarkStart w:id="26" w:name="quality-objectives"/>
    <w:p>
      <w:pPr>
        <w:pStyle w:val="Heading2"/>
      </w:pPr>
      <w:r>
        <w:t xml:space="preserve">Quality Objectives</w:t>
      </w:r>
    </w:p>
    <w:p>
      <w:pPr>
        <w:pStyle w:val="Compact"/>
        <w:numPr>
          <w:ilvl w:val="0"/>
          <w:numId w:val="1001"/>
        </w:numPr>
      </w:pPr>
      <w:r>
        <w:t xml:space="preserve">Accuracy</w:t>
      </w:r>
    </w:p>
    <w:p>
      <w:pPr>
        <w:pStyle w:val="Compact"/>
        <w:numPr>
          <w:ilvl w:val="0"/>
          <w:numId w:val="1001"/>
        </w:numPr>
      </w:pPr>
      <w:r>
        <w:t xml:space="preserve">Consistency</w:t>
      </w:r>
    </w:p>
    <w:p>
      <w:pPr>
        <w:pStyle w:val="Compact"/>
        <w:numPr>
          <w:ilvl w:val="0"/>
          <w:numId w:val="1001"/>
        </w:numPr>
      </w:pPr>
      <w:r>
        <w:t xml:space="preserve">Reliability</w:t>
      </w:r>
    </w:p>
    <w:p>
      <w:pPr>
        <w:pStyle w:val="Compact"/>
        <w:numPr>
          <w:ilvl w:val="0"/>
          <w:numId w:val="1001"/>
        </w:numPr>
      </w:pPr>
      <w:r>
        <w:t xml:space="preserve">Maintainability</w:t>
      </w:r>
    </w:p>
    <w:p>
      <w:pPr>
        <w:pStyle w:val="Compact"/>
        <w:numPr>
          <w:ilvl w:val="0"/>
          <w:numId w:val="1001"/>
        </w:numPr>
      </w:pPr>
      <w:r>
        <w:t xml:space="preserve">Continuous Improvement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hapter-32"/>
    <w:p>
      <w:pPr>
        <w:pStyle w:val="Heading1"/>
      </w:pPr>
      <w:r>
        <w:t xml:space="preserve">CHAPTER 32</w:t>
      </w:r>
    </w:p>
    <w:bookmarkEnd w:id="28"/>
    <w:bookmarkStart w:id="31" w:name="performance-standards"/>
    <w:p>
      <w:pPr>
        <w:pStyle w:val="Heading1"/>
      </w:pPr>
      <w:r>
        <w:t xml:space="preserve">PERFORMANCE STANDARDS</w:t>
      </w:r>
    </w:p>
    <w:bookmarkStart w:id="29" w:name="requirements"/>
    <w:p>
      <w:pPr>
        <w:pStyle w:val="Heading2"/>
      </w:pPr>
      <w:r>
        <w:t xml:space="preserve">Requirements</w:t>
      </w:r>
    </w:p>
    <w:p>
      <w:pPr>
        <w:pStyle w:val="FirstParagraph"/>
      </w:pPr>
      <w:r>
        <w:t xml:space="preserve">Enterprise assets shall be:</w:t>
      </w:r>
    </w:p>
    <w:p>
      <w:pPr>
        <w:pStyle w:val="Compact"/>
        <w:numPr>
          <w:ilvl w:val="0"/>
          <w:numId w:val="1002"/>
        </w:numPr>
      </w:pPr>
      <w:r>
        <w:t xml:space="preserve">Efficient</w:t>
      </w:r>
    </w:p>
    <w:p>
      <w:pPr>
        <w:pStyle w:val="Compact"/>
        <w:numPr>
          <w:ilvl w:val="0"/>
          <w:numId w:val="1002"/>
        </w:numPr>
      </w:pPr>
      <w:r>
        <w:t xml:space="preserve">Measurable</w:t>
      </w:r>
    </w:p>
    <w:p>
      <w:pPr>
        <w:pStyle w:val="Compact"/>
        <w:numPr>
          <w:ilvl w:val="0"/>
          <w:numId w:val="1002"/>
        </w:numPr>
      </w:pPr>
      <w:r>
        <w:t xml:space="preserve">Scalable</w:t>
      </w:r>
    </w:p>
    <w:p>
      <w:pPr>
        <w:pStyle w:val="Compact"/>
        <w:numPr>
          <w:ilvl w:val="0"/>
          <w:numId w:val="1002"/>
        </w:numPr>
      </w:pPr>
      <w:r>
        <w:t xml:space="preserve">Predictable</w:t>
      </w:r>
    </w:p>
    <w:p>
      <w:r>
        <w:pict>
          <v:rect style="width:0;height:1.5pt" o:hralign="center" o:hrstd="t" o:hr="t"/>
        </w:pict>
      </w:r>
    </w:p>
    <w:bookmarkEnd w:id="29"/>
    <w:bookmarkStart w:id="30" w:name="performance-rule"/>
    <w:p>
      <w:pPr>
        <w:pStyle w:val="Heading2"/>
      </w:pPr>
      <w:r>
        <w:t xml:space="preserve">Performance Rule</w:t>
      </w:r>
    </w:p>
    <w:p>
      <w:pPr>
        <w:pStyle w:val="FirstParagraph"/>
      </w:pPr>
      <w:r>
        <w:t xml:space="preserve">Performance shall be continuously evaluated.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hapter-33"/>
    <w:p>
      <w:pPr>
        <w:pStyle w:val="Heading1"/>
      </w:pPr>
      <w:r>
        <w:t xml:space="preserve">CHAPTER 33</w:t>
      </w:r>
    </w:p>
    <w:bookmarkEnd w:id="32"/>
    <w:bookmarkStart w:id="35" w:name="scalability-standards"/>
    <w:p>
      <w:pPr>
        <w:pStyle w:val="Heading1"/>
      </w:pPr>
      <w:r>
        <w:t xml:space="preserve">SCALABILITY STANDARDS</w:t>
      </w:r>
    </w:p>
    <w:bookmarkStart w:id="33" w:name="objectives"/>
    <w:p>
      <w:pPr>
        <w:pStyle w:val="Heading2"/>
      </w:pPr>
      <w:r>
        <w:t xml:space="preserve">Objectives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03"/>
        </w:numPr>
      </w:pPr>
      <w:r>
        <w:t xml:space="preserve">Growth</w:t>
      </w:r>
    </w:p>
    <w:p>
      <w:pPr>
        <w:pStyle w:val="Compact"/>
        <w:numPr>
          <w:ilvl w:val="0"/>
          <w:numId w:val="1003"/>
        </w:numPr>
      </w:pPr>
      <w:r>
        <w:t xml:space="preserve">Expansion</w:t>
      </w:r>
    </w:p>
    <w:p>
      <w:pPr>
        <w:pStyle w:val="Compact"/>
        <w:numPr>
          <w:ilvl w:val="0"/>
          <w:numId w:val="1003"/>
        </w:numPr>
      </w:pPr>
      <w:r>
        <w:t xml:space="preserve">Increased Demand</w:t>
      </w:r>
    </w:p>
    <w:p>
      <w:r>
        <w:pict>
          <v:rect style="width:0;height:1.5pt" o:hralign="center" o:hrstd="t" o:hr="t"/>
        </w:pict>
      </w:r>
    </w:p>
    <w:bookmarkEnd w:id="33"/>
    <w:bookmarkStart w:id="34" w:name="scalability-principle"/>
    <w:p>
      <w:pPr>
        <w:pStyle w:val="Heading2"/>
      </w:pPr>
      <w:r>
        <w:t xml:space="preserve">Scalability Principle</w:t>
      </w:r>
    </w:p>
    <w:p>
      <w:pPr>
        <w:pStyle w:val="FirstParagraph"/>
      </w:pPr>
      <w:r>
        <w:t xml:space="preserve">Systems shall be designed for future capacity requirements.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hapter-34"/>
    <w:p>
      <w:pPr>
        <w:pStyle w:val="Heading1"/>
      </w:pPr>
      <w:r>
        <w:t xml:space="preserve">CHAPTER 34</w:t>
      </w:r>
    </w:p>
    <w:bookmarkEnd w:id="36"/>
    <w:bookmarkStart w:id="39" w:name="continuous-improvement-standards"/>
    <w:p>
      <w:pPr>
        <w:pStyle w:val="Heading1"/>
      </w:pPr>
      <w:r>
        <w:t xml:space="preserve">CONTINUOUS IMPROVEMENT STANDARDS</w:t>
      </w:r>
    </w:p>
    <w:bookmarkStart w:id="37" w:name="requirements-1"/>
    <w:p>
      <w:pPr>
        <w:pStyle w:val="Heading2"/>
      </w:pPr>
      <w:r>
        <w:t xml:space="preserve">Requirements</w:t>
      </w:r>
    </w:p>
    <w:p>
      <w:pPr>
        <w:pStyle w:val="FirstParagraph"/>
      </w:pPr>
      <w:r>
        <w:t xml:space="preserve">All enterprise assets shall support:</w:t>
      </w:r>
    </w:p>
    <w:p>
      <w:pPr>
        <w:pStyle w:val="Compact"/>
        <w:numPr>
          <w:ilvl w:val="0"/>
          <w:numId w:val="1004"/>
        </w:numPr>
      </w:pPr>
      <w:r>
        <w:t xml:space="preserve">Review</w:t>
      </w:r>
    </w:p>
    <w:p>
      <w:pPr>
        <w:pStyle w:val="Compact"/>
        <w:numPr>
          <w:ilvl w:val="0"/>
          <w:numId w:val="1004"/>
        </w:numPr>
      </w:pPr>
      <w:r>
        <w:t xml:space="preserve">Measurement</w:t>
      </w:r>
    </w:p>
    <w:p>
      <w:pPr>
        <w:pStyle w:val="Compact"/>
        <w:numPr>
          <w:ilvl w:val="0"/>
          <w:numId w:val="1004"/>
        </w:numPr>
      </w:pPr>
      <w:r>
        <w:t xml:space="preserve">Optimization</w:t>
      </w:r>
    </w:p>
    <w:p>
      <w:pPr>
        <w:pStyle w:val="Compact"/>
        <w:numPr>
          <w:ilvl w:val="0"/>
          <w:numId w:val="1004"/>
        </w:numPr>
      </w:pPr>
      <w:r>
        <w:t xml:space="preserve">Enhancement</w:t>
      </w:r>
    </w:p>
    <w:p>
      <w:r>
        <w:pict>
          <v:rect style="width:0;height:1.5pt" o:hralign="center" o:hrstd="t" o:hr="t"/>
        </w:pict>
      </w:r>
    </w:p>
    <w:bookmarkEnd w:id="37"/>
    <w:bookmarkStart w:id="38" w:name="improvement-rule"/>
    <w:p>
      <w:pPr>
        <w:pStyle w:val="Heading2"/>
      </w:pPr>
      <w:r>
        <w:t xml:space="preserve">Improvement Rule</w:t>
      </w:r>
    </w:p>
    <w:p>
      <w:pPr>
        <w:pStyle w:val="FirstParagraph"/>
      </w:pPr>
      <w:r>
        <w:t xml:space="preserve">Enterprise quality shall continuously evolve.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hapter-35"/>
    <w:p>
      <w:pPr>
        <w:pStyle w:val="Heading1"/>
      </w:pPr>
      <w:r>
        <w:t xml:space="preserve">CHAPTER 35</w:t>
      </w:r>
    </w:p>
    <w:bookmarkEnd w:id="40"/>
    <w:bookmarkStart w:id="43" w:name="enterprise-excellence-model"/>
    <w:p>
      <w:pPr>
        <w:pStyle w:val="Heading1"/>
      </w:pPr>
      <w:r>
        <w:t xml:space="preserve">ENTERPRISE EXCELLENCE MODEL</w:t>
      </w:r>
    </w:p>
    <w:bookmarkStart w:id="41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 the highest standard of enterprise operation.</w:t>
      </w:r>
    </w:p>
    <w:p>
      <w:r>
        <w:pict>
          <v:rect style="width:0;height:1.5pt" o:hralign="center" o:hrstd="t" o:hr="t"/>
        </w:pict>
      </w:r>
    </w:p>
    <w:bookmarkEnd w:id="41"/>
    <w:bookmarkStart w:id="42" w:name="excellence-characteristics"/>
    <w:p>
      <w:pPr>
        <w:pStyle w:val="Heading2"/>
      </w:pPr>
      <w:r>
        <w:t xml:space="preserve">Excellence Characteristics</w:t>
      </w:r>
    </w:p>
    <w:p>
      <w:pPr>
        <w:pStyle w:val="Compact"/>
        <w:numPr>
          <w:ilvl w:val="0"/>
          <w:numId w:val="1005"/>
        </w:numPr>
      </w:pPr>
      <w:r>
        <w:t xml:space="preserve">High Reliability</w:t>
      </w:r>
    </w:p>
    <w:p>
      <w:pPr>
        <w:pStyle w:val="Compact"/>
        <w:numPr>
          <w:ilvl w:val="0"/>
          <w:numId w:val="1005"/>
        </w:numPr>
      </w:pPr>
      <w:r>
        <w:t xml:space="preserve">High Quality</w:t>
      </w:r>
    </w:p>
    <w:p>
      <w:pPr>
        <w:pStyle w:val="Compact"/>
        <w:numPr>
          <w:ilvl w:val="0"/>
          <w:numId w:val="1005"/>
        </w:numPr>
      </w:pPr>
      <w:r>
        <w:t xml:space="preserve">High Governance</w:t>
      </w:r>
    </w:p>
    <w:p>
      <w:pPr>
        <w:pStyle w:val="Compact"/>
        <w:numPr>
          <w:ilvl w:val="0"/>
          <w:numId w:val="1005"/>
        </w:numPr>
      </w:pPr>
      <w:r>
        <w:t xml:space="preserve">High Auditability</w:t>
      </w:r>
    </w:p>
    <w:p>
      <w:pPr>
        <w:pStyle w:val="Compact"/>
        <w:numPr>
          <w:ilvl w:val="0"/>
          <w:numId w:val="1005"/>
        </w:numPr>
      </w:pPr>
      <w:r>
        <w:t xml:space="preserve">High Maintainability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chapter-36"/>
    <w:p>
      <w:pPr>
        <w:pStyle w:val="Heading1"/>
      </w:pPr>
      <w:r>
        <w:t xml:space="preserve">CHAPTER 36</w:t>
      </w:r>
    </w:p>
    <w:bookmarkEnd w:id="44"/>
    <w:bookmarkStart w:id="46" w:name="enterprise-standards-declaration"/>
    <w:p>
      <w:pPr>
        <w:pStyle w:val="Heading1"/>
      </w:pPr>
      <w:r>
        <w:t xml:space="preserve">ENTERPRISE STANDARDS DECLARATION</w:t>
      </w:r>
    </w:p>
    <w:bookmarkStart w:id="45" w:name="constitutional-principle"/>
    <w:p>
      <w:pPr>
        <w:pStyle w:val="Heading2"/>
      </w:pPr>
      <w:r>
        <w:t xml:space="preserve">Constitutional Principle</w:t>
      </w:r>
    </w:p>
    <w:p>
      <w:pPr>
        <w:pStyle w:val="FirstParagraph"/>
      </w:pPr>
      <w:r>
        <w:t xml:space="preserve">Within CSI Ultimate Enterprise:</w:t>
      </w:r>
    </w:p>
    <w:p>
      <w:pPr>
        <w:pStyle w:val="BodyText"/>
      </w:pPr>
      <w:r>
        <w:t xml:space="preserve">Standards are mandatory.</w:t>
      </w:r>
    </w:p>
    <w:p>
      <w:pPr>
        <w:pStyle w:val="BodyText"/>
      </w:pPr>
      <w:r>
        <w:t xml:space="preserve">Compliance is measurable.</w:t>
      </w:r>
    </w:p>
    <w:p>
      <w:pPr>
        <w:pStyle w:val="BodyText"/>
      </w:pPr>
      <w:r>
        <w:t xml:space="preserve">Governance is enforceable.</w:t>
      </w:r>
    </w:p>
    <w:p>
      <w:pPr>
        <w:pStyle w:val="BodyText"/>
      </w:pPr>
      <w:r>
        <w:t xml:space="preserve">Quality is non-negotiable.</w:t>
      </w:r>
    </w:p>
    <w:p>
      <w:pPr>
        <w:pStyle w:val="BodyText"/>
      </w:pPr>
      <w:r>
        <w:t xml:space="preserve">Enterprise excellence is the target state.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volume-06-completion-statement"/>
    <w:p>
      <w:pPr>
        <w:pStyle w:val="Heading1"/>
      </w:pPr>
      <w:r>
        <w:t xml:space="preserve">VOLUME 06 COMPLETION STATEMENT</w:t>
      </w:r>
    </w:p>
    <w:p>
      <w:pPr>
        <w:pStyle w:val="FirstParagraph"/>
      </w:pPr>
      <w:r>
        <w:t xml:space="preserve">Volume 06 establishes:</w:t>
      </w:r>
    </w:p>
    <w:p>
      <w:pPr>
        <w:pStyle w:val="Compact"/>
        <w:numPr>
          <w:ilvl w:val="0"/>
          <w:numId w:val="1006"/>
        </w:numPr>
      </w:pPr>
      <w:r>
        <w:t xml:space="preserve">Standards Governance</w:t>
      </w:r>
    </w:p>
    <w:p>
      <w:pPr>
        <w:pStyle w:val="Compact"/>
        <w:numPr>
          <w:ilvl w:val="0"/>
          <w:numId w:val="1006"/>
        </w:numPr>
      </w:pPr>
      <w:r>
        <w:t xml:space="preserve">Development Standards</w:t>
      </w:r>
    </w:p>
    <w:p>
      <w:pPr>
        <w:pStyle w:val="Compact"/>
        <w:numPr>
          <w:ilvl w:val="0"/>
          <w:numId w:val="1006"/>
        </w:numPr>
      </w:pPr>
      <w:r>
        <w:t xml:space="preserve">Coding Standards</w:t>
      </w:r>
    </w:p>
    <w:p>
      <w:pPr>
        <w:pStyle w:val="Compact"/>
        <w:numPr>
          <w:ilvl w:val="0"/>
          <w:numId w:val="1006"/>
        </w:numPr>
      </w:pPr>
      <w:r>
        <w:t xml:space="preserve">Documentation Standards</w:t>
      </w:r>
    </w:p>
    <w:p>
      <w:pPr>
        <w:pStyle w:val="Compact"/>
        <w:numPr>
          <w:ilvl w:val="0"/>
          <w:numId w:val="1006"/>
        </w:numPr>
      </w:pPr>
      <w:r>
        <w:t xml:space="preserve">Operational Standards</w:t>
      </w:r>
    </w:p>
    <w:p>
      <w:pPr>
        <w:pStyle w:val="Compact"/>
        <w:numPr>
          <w:ilvl w:val="0"/>
          <w:numId w:val="1006"/>
        </w:numPr>
      </w:pPr>
      <w:r>
        <w:t xml:space="preserve">Security Standards</w:t>
      </w:r>
    </w:p>
    <w:p>
      <w:pPr>
        <w:pStyle w:val="Compact"/>
        <w:numPr>
          <w:ilvl w:val="0"/>
          <w:numId w:val="1006"/>
        </w:numPr>
      </w:pPr>
      <w:r>
        <w:t xml:space="preserve">Quality Standards</w:t>
      </w:r>
    </w:p>
    <w:p>
      <w:pPr>
        <w:pStyle w:val="Compact"/>
        <w:numPr>
          <w:ilvl w:val="0"/>
          <w:numId w:val="1006"/>
        </w:numPr>
      </w:pPr>
      <w:r>
        <w:t xml:space="preserve">Scalability Standards</w:t>
      </w:r>
    </w:p>
    <w:p>
      <w:pPr>
        <w:pStyle w:val="Compact"/>
        <w:numPr>
          <w:ilvl w:val="0"/>
          <w:numId w:val="1006"/>
        </w:numPr>
      </w:pPr>
      <w:r>
        <w:t xml:space="preserve">Performance Standards</w:t>
      </w:r>
    </w:p>
    <w:p>
      <w:pPr>
        <w:pStyle w:val="Compact"/>
        <w:numPr>
          <w:ilvl w:val="0"/>
          <w:numId w:val="1006"/>
        </w:numPr>
      </w:pPr>
      <w:r>
        <w:t xml:space="preserve">Enterprise Excellence Standards</w:t>
      </w:r>
    </w:p>
    <w:p>
      <w:pPr>
        <w:pStyle w:val="FirstParagraph"/>
      </w:pPr>
      <w:r>
        <w:t xml:space="preserve">These structures define the mandatory standards governing all CSI enterprise assets.</w:t>
      </w:r>
    </w:p>
    <w:p>
      <w:r>
        <w:pict>
          <v:rect style="width:0;height:1.5pt" o:hralign="center" o:hrstd="t" o:hr="t"/>
        </w:pict>
      </w:r>
    </w:p>
    <w:bookmarkEnd w:id="47"/>
    <w:bookmarkStart w:id="48" w:name="volume-06-status"/>
    <w:p>
      <w:pPr>
        <w:pStyle w:val="Heading1"/>
      </w:pPr>
      <w:r>
        <w:t xml:space="preserve">VOLUME 06 STATUS</w:t>
      </w:r>
    </w:p>
    <w:p>
      <w:pPr>
        <w:pStyle w:val="FirstParagraph"/>
      </w:pPr>
      <w:r>
        <w:t xml:space="preserve">Completed Parts:</w:t>
      </w:r>
    </w:p>
    <w:p>
      <w:pPr>
        <w:pStyle w:val="Compact"/>
        <w:numPr>
          <w:ilvl w:val="0"/>
          <w:numId w:val="1007"/>
        </w:numPr>
      </w:pPr>
      <w:r>
        <w:t xml:space="preserve">Volume 06 (Part 01)</w:t>
      </w:r>
    </w:p>
    <w:p>
      <w:pPr>
        <w:pStyle w:val="Compact"/>
        <w:numPr>
          <w:ilvl w:val="0"/>
          <w:numId w:val="1007"/>
        </w:numPr>
      </w:pPr>
      <w:r>
        <w:t xml:space="preserve">Volume 06 (Part 02)</w:t>
      </w:r>
    </w:p>
    <w:p>
      <w:pPr>
        <w:pStyle w:val="Compact"/>
        <w:numPr>
          <w:ilvl w:val="0"/>
          <w:numId w:val="1007"/>
        </w:numPr>
      </w:pPr>
      <w:r>
        <w:t xml:space="preserve">Volume 06 (Part 03)</w:t>
      </w:r>
    </w:p>
    <w:p>
      <w:pPr>
        <w:pStyle w:val="Compact"/>
        <w:numPr>
          <w:ilvl w:val="0"/>
          <w:numId w:val="1007"/>
        </w:numPr>
      </w:pPr>
      <w:r>
        <w:t xml:space="preserve">Volume 06 (Part 04)</w:t>
      </w:r>
    </w:p>
    <w:p>
      <w:pPr>
        <w:pStyle w:val="Compact"/>
        <w:numPr>
          <w:ilvl w:val="0"/>
          <w:numId w:val="1007"/>
        </w:numPr>
      </w:pPr>
      <w:r>
        <w:t xml:space="preserve">Volume 06 (Part 05)</w:t>
      </w:r>
    </w:p>
    <w:p>
      <w:pPr>
        <w:pStyle w:val="Compact"/>
        <w:numPr>
          <w:ilvl w:val="0"/>
          <w:numId w:val="1007"/>
        </w:numPr>
      </w:pPr>
      <w:r>
        <w:t xml:space="preserve">Volume 06 (Part 06)</w:t>
      </w:r>
    </w:p>
    <w:p>
      <w:pPr>
        <w:pStyle w:val="FirstParagraph"/>
      </w:pPr>
      <w:r>
        <w:t xml:space="preserve">Volume Status:</w:t>
      </w:r>
    </w:p>
    <w:p>
      <w:pPr>
        <w:pStyle w:val="BodyText"/>
      </w:pPr>
      <w:r>
        <w:t xml:space="preserve">COMPLETE</w:t>
      </w:r>
    </w:p>
    <w:p>
      <w:pPr>
        <w:pStyle w:val="BodyText"/>
      </w:pPr>
      <w:r>
        <w:t xml:space="preserve">READY FOR GOVERNANCE FRAMEWORK INTEGRATION</w:t>
      </w:r>
    </w:p>
    <w:p>
      <w:pPr>
        <w:pStyle w:val="BodyText"/>
      </w:pPr>
      <w:r>
        <w:t xml:space="preserve">READY FOR VOLUME 07</w:t>
      </w:r>
    </w:p>
    <w:p>
      <w:r>
        <w:pict>
          <v:rect style="width:0;height:1.5pt" o:hralign="center" o:hrstd="t" o:hr="t"/>
        </w:pict>
      </w:r>
    </w:p>
    <w:bookmarkEnd w:id="48"/>
    <w:bookmarkStart w:id="49" w:name="next-volume"/>
    <w:p>
      <w:pPr>
        <w:pStyle w:val="Heading1"/>
      </w:pPr>
      <w:r>
        <w:t xml:space="preserve">NEXT VOLUME</w:t>
      </w:r>
    </w:p>
    <w:p>
      <w:pPr>
        <w:pStyle w:val="FirstParagraph"/>
      </w:pPr>
      <w:r>
        <w:t xml:space="preserve">Volume 07 (Part 01)</w:t>
      </w:r>
    </w:p>
    <w:p>
      <w:pPr>
        <w:pStyle w:val="BodyText"/>
      </w:pPr>
      <w:r>
        <w:t xml:space="preserve">Enterprise Governance</w:t>
      </w:r>
    </w:p>
    <w:p>
      <w:pPr>
        <w:pStyle w:val="BodyText"/>
      </w:pPr>
      <w:r>
        <w:t xml:space="preserve">This volume establishes:</w:t>
      </w:r>
    </w:p>
    <w:p>
      <w:pPr>
        <w:pStyle w:val="Compact"/>
        <w:numPr>
          <w:ilvl w:val="0"/>
          <w:numId w:val="1008"/>
        </w:numPr>
      </w:pPr>
      <w:r>
        <w:t xml:space="preserve">Governance Authority</w:t>
      </w:r>
    </w:p>
    <w:p>
      <w:pPr>
        <w:pStyle w:val="Compact"/>
        <w:numPr>
          <w:ilvl w:val="0"/>
          <w:numId w:val="1008"/>
        </w:numPr>
      </w:pPr>
      <w:r>
        <w:t xml:space="preserve">Governance Structure</w:t>
      </w:r>
    </w:p>
    <w:p>
      <w:pPr>
        <w:pStyle w:val="Compact"/>
        <w:numPr>
          <w:ilvl w:val="0"/>
          <w:numId w:val="1008"/>
        </w:numPr>
      </w:pPr>
      <w:r>
        <w:t xml:space="preserve">Decision Governance</w:t>
      </w:r>
    </w:p>
    <w:p>
      <w:pPr>
        <w:pStyle w:val="Compact"/>
        <w:numPr>
          <w:ilvl w:val="0"/>
          <w:numId w:val="1008"/>
        </w:numPr>
      </w:pPr>
      <w:r>
        <w:t xml:space="preserve">Oversight Framework</w:t>
      </w:r>
    </w:p>
    <w:p>
      <w:pPr>
        <w:pStyle w:val="Compact"/>
        <w:numPr>
          <w:ilvl w:val="0"/>
          <w:numId w:val="1008"/>
        </w:numPr>
      </w:pPr>
      <w:r>
        <w:t xml:space="preserve">Accountability Model</w:t>
      </w:r>
    </w:p>
    <w:p>
      <w:pPr>
        <w:pStyle w:val="Compact"/>
        <w:numPr>
          <w:ilvl w:val="0"/>
          <w:numId w:val="1008"/>
        </w:numPr>
      </w:pPr>
      <w:r>
        <w:t xml:space="preserve">Enterprise Control Systems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2026-06-10T10:14:55Z</dcterms:created>
  <dcterms:modified xsi:type="dcterms:W3CDTF">2026-06-10T10:14:55Z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