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6"/>
    <w:p>
      <w:pPr>
        <w:pStyle w:val="Heading3"/>
      </w:pPr>
      <w:r>
        <w:t xml:space="preserve">Part 6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33"/>
    <w:p>
      <w:pPr>
        <w:pStyle w:val="Heading1"/>
      </w:pPr>
      <w:r>
        <w:t xml:space="preserve">CHAPTER 33</w:t>
      </w:r>
    </w:p>
    <w:bookmarkEnd w:id="24"/>
    <w:bookmarkStart w:id="32" w:name="infrastructure-architecture"/>
    <w:p>
      <w:pPr>
        <w:pStyle w:val="Heading1"/>
      </w:pPr>
      <w:r>
        <w:t xml:space="preserve">INFRASTRUCTURE ARCHITECTURE</w:t>
      </w:r>
    </w:p>
    <w:bookmarkStart w:id="25" w:name="purpose"/>
    <w:p>
      <w:pPr>
        <w:pStyle w:val="Heading2"/>
      </w:pPr>
      <w:r>
        <w:t xml:space="preserve">33.1 Purpose</w:t>
      </w:r>
    </w:p>
    <w:p>
      <w:pPr>
        <w:pStyle w:val="FirstParagraph"/>
      </w:pPr>
      <w:r>
        <w:t xml:space="preserve">Infrastructure Architecture defines the foundational computing environment supporting CSI Ultimate Enterprise.</w:t>
      </w:r>
    </w:p>
    <w:p>
      <w:pPr>
        <w:pStyle w:val="BodyText"/>
      </w:pPr>
      <w:r>
        <w:t xml:space="preserve">The infrastructure must provide: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1"/>
        </w:numPr>
      </w:pPr>
      <w:r>
        <w:t xml:space="preserve">Operational Efficiency</w:t>
      </w:r>
    </w:p>
    <w:p>
      <w:r>
        <w:pict>
          <v:rect style="width:0;height:1.5pt" o:hralign="center" o:hrstd="t" o:hr="t"/>
        </w:pict>
      </w:r>
    </w:p>
    <w:bookmarkEnd w:id="25"/>
    <w:bookmarkStart w:id="26" w:name="infrastructure-objectives"/>
    <w:p>
      <w:pPr>
        <w:pStyle w:val="Heading2"/>
      </w:pPr>
      <w:r>
        <w:t xml:space="preserve">33.2 Infrastructure Objectives</w:t>
      </w:r>
    </w:p>
    <w:p>
      <w:pPr>
        <w:pStyle w:val="FirstParagraph"/>
      </w:pPr>
      <w:r>
        <w:t xml:space="preserve">The infrastructure shall support:</w:t>
      </w:r>
    </w:p>
    <w:p>
      <w:pPr>
        <w:pStyle w:val="Compact"/>
        <w:numPr>
          <w:ilvl w:val="0"/>
          <w:numId w:val="1002"/>
        </w:numPr>
      </w:pPr>
      <w:r>
        <w:t xml:space="preserve">Continuous Operations</w:t>
      </w:r>
    </w:p>
    <w:p>
      <w:pPr>
        <w:pStyle w:val="Compact"/>
        <w:numPr>
          <w:ilvl w:val="0"/>
          <w:numId w:val="1002"/>
        </w:numPr>
      </w:pPr>
      <w:r>
        <w:t xml:space="preserve">Enterprise Growth</w:t>
      </w:r>
    </w:p>
    <w:p>
      <w:pPr>
        <w:pStyle w:val="Compact"/>
        <w:numPr>
          <w:ilvl w:val="0"/>
          <w:numId w:val="1002"/>
        </w:numPr>
      </w:pPr>
      <w: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Disaster Recovery</w:t>
      </w:r>
    </w:p>
    <w:p>
      <w:pPr>
        <w:pStyle w:val="Compact"/>
        <w:numPr>
          <w:ilvl w:val="0"/>
          <w:numId w:val="1002"/>
        </w:numPr>
      </w:pPr>
      <w:r>
        <w:t xml:space="preserve">Future Expansion</w:t>
      </w:r>
    </w:p>
    <w:p>
      <w:r>
        <w:pict>
          <v:rect style="width:0;height:1.5pt" o:hralign="center" o:hrstd="t" o:hr="t"/>
        </w:pict>
      </w:r>
    </w:p>
    <w:bookmarkEnd w:id="26"/>
    <w:bookmarkStart w:id="31" w:name="infrastructure-principles"/>
    <w:p>
      <w:pPr>
        <w:pStyle w:val="Heading2"/>
      </w:pPr>
      <w:r>
        <w:t xml:space="preserve">33.3 Infrastructure Principles</w:t>
      </w:r>
    </w:p>
    <w:bookmarkStart w:id="27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Infrastructure as a Platform</w:t>
      </w:r>
    </w:p>
    <w:p>
      <w:pPr>
        <w:pStyle w:val="BodyText"/>
      </w:pPr>
      <w:r>
        <w:t xml:space="preserve">Infrastructure shall be treated as an enterprise service.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Automation First</w:t>
      </w:r>
    </w:p>
    <w:p>
      <w:pPr>
        <w:pStyle w:val="BodyText"/>
      </w:pPr>
      <w:r>
        <w:t xml:space="preserve">Infrastructure provisioning should be automated whenever possible.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Scalability by Design</w:t>
      </w:r>
    </w:p>
    <w:p>
      <w:pPr>
        <w:pStyle w:val="BodyText"/>
      </w:pPr>
      <w:r>
        <w:t xml:space="preserve">Growth should not require redesign.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Operational Visibility</w:t>
      </w:r>
    </w:p>
    <w:p>
      <w:pPr>
        <w:pStyle w:val="BodyText"/>
      </w:pPr>
      <w:r>
        <w:t xml:space="preserve">Infrastructure shall be fully observable.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chapter-34"/>
    <w:p>
      <w:pPr>
        <w:pStyle w:val="Heading1"/>
      </w:pPr>
      <w:r>
        <w:t xml:space="preserve">CHAPTER 34</w:t>
      </w:r>
    </w:p>
    <w:bookmarkEnd w:id="33"/>
    <w:bookmarkStart w:id="41" w:name="storage-architecture"/>
    <w:p>
      <w:pPr>
        <w:pStyle w:val="Heading1"/>
      </w:pPr>
      <w:r>
        <w:t xml:space="preserve">STORAGE ARCHITECTURE</w:t>
      </w:r>
    </w:p>
    <w:bookmarkStart w:id="34" w:name="purpose-1"/>
    <w:p>
      <w:pPr>
        <w:pStyle w:val="Heading2"/>
      </w:pPr>
      <w:r>
        <w:t xml:space="preserve">34.1 Purpose</w:t>
      </w:r>
    </w:p>
    <w:p>
      <w:pPr>
        <w:pStyle w:val="FirstParagraph"/>
      </w:pPr>
      <w:r>
        <w:t xml:space="preserve">Storage Architecture governs how information assets are stored, managed, protected, and accessed.</w:t>
      </w:r>
    </w:p>
    <w:p>
      <w:r>
        <w:pict>
          <v:rect style="width:0;height:1.5pt" o:hralign="center" o:hrstd="t" o:hr="t"/>
        </w:pict>
      </w:r>
    </w:p>
    <w:bookmarkEnd w:id="34"/>
    <w:bookmarkStart w:id="35" w:name="storage-objectives"/>
    <w:p>
      <w:pPr>
        <w:pStyle w:val="Heading2"/>
      </w:pPr>
      <w:r>
        <w:t xml:space="preserve">34.2 Storage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3"/>
        </w:numPr>
      </w:pPr>
      <w:r>
        <w:t xml:space="preserve">Durability</w:t>
      </w:r>
    </w:p>
    <w:p>
      <w:pPr>
        <w:pStyle w:val="Compact"/>
        <w:numPr>
          <w:ilvl w:val="0"/>
          <w:numId w:val="1003"/>
        </w:numPr>
      </w:pPr>
      <w:r>
        <w:t xml:space="preserve">Accessibility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35"/>
    <w:bookmarkStart w:id="40" w:name="storage-categories"/>
    <w:p>
      <w:pPr>
        <w:pStyle w:val="Heading2"/>
      </w:pPr>
      <w:r>
        <w:t xml:space="preserve">34.3 Storage Categories</w:t>
      </w:r>
    </w:p>
    <w:bookmarkStart w:id="36" w:name="raw-storage"/>
    <w:p>
      <w:pPr>
        <w:pStyle w:val="Heading3"/>
      </w:pPr>
      <w:r>
        <w:t xml:space="preserve">Raw Storage</w:t>
      </w:r>
    </w:p>
    <w:p>
      <w:pPr>
        <w:pStyle w:val="FirstParagraph"/>
      </w:pPr>
      <w:r>
        <w:t xml:space="preserve">Stores acquired information.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Raw Documents</w:t>
      </w:r>
    </w:p>
    <w:p>
      <w:pPr>
        <w:pStyle w:val="Compact"/>
        <w:numPr>
          <w:ilvl w:val="0"/>
          <w:numId w:val="1004"/>
        </w:numPr>
      </w:pPr>
      <w:r>
        <w:t xml:space="preserve">Raw Feeds</w:t>
      </w:r>
    </w:p>
    <w:p>
      <w:pPr>
        <w:pStyle w:val="Compact"/>
        <w:numPr>
          <w:ilvl w:val="0"/>
          <w:numId w:val="1004"/>
        </w:numPr>
      </w:pPr>
      <w:r>
        <w:t xml:space="preserve">Raw Content</w:t>
      </w:r>
    </w:p>
    <w:p>
      <w:r>
        <w:pict>
          <v:rect style="width:0;height:1.5pt" o:hralign="center" o:hrstd="t" o:hr="t"/>
        </w:pict>
      </w:r>
    </w:p>
    <w:bookmarkEnd w:id="36"/>
    <w:bookmarkStart w:id="37" w:name="processed-storage"/>
    <w:p>
      <w:pPr>
        <w:pStyle w:val="Heading3"/>
      </w:pPr>
      <w:r>
        <w:t xml:space="preserve">Processed Storage</w:t>
      </w:r>
    </w:p>
    <w:p>
      <w:pPr>
        <w:pStyle w:val="FirstParagraph"/>
      </w:pPr>
      <w:r>
        <w:t xml:space="preserve">Stores normalized information.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Canonical Records</w:t>
      </w:r>
    </w:p>
    <w:p>
      <w:pPr>
        <w:pStyle w:val="Compact"/>
        <w:numPr>
          <w:ilvl w:val="0"/>
          <w:numId w:val="1005"/>
        </w:numPr>
      </w:pPr>
      <w:r>
        <w:t xml:space="preserve">Processed Documents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storage"/>
    <w:p>
      <w:pPr>
        <w:pStyle w:val="Heading3"/>
      </w:pPr>
      <w:r>
        <w:t xml:space="preserve">Knowledge Storage</w:t>
      </w:r>
    </w:p>
    <w:p>
      <w:pPr>
        <w:pStyle w:val="FirstParagraph"/>
      </w:pPr>
      <w:r>
        <w:t xml:space="preserve">Stores enterprise knowledge assets.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Entities</w:t>
      </w:r>
    </w:p>
    <w:p>
      <w:pPr>
        <w:pStyle w:val="Compact"/>
        <w:numPr>
          <w:ilvl w:val="0"/>
          <w:numId w:val="1006"/>
        </w:numPr>
      </w:pPr>
      <w:r>
        <w:t xml:space="preserve">Relationships</w:t>
      </w:r>
    </w:p>
    <w:p>
      <w:pPr>
        <w:pStyle w:val="Compact"/>
        <w:numPr>
          <w:ilvl w:val="0"/>
          <w:numId w:val="1006"/>
        </w:numPr>
      </w:pPr>
      <w:r>
        <w:t xml:space="preserve">Knowledge Objects</w:t>
      </w:r>
    </w:p>
    <w:p>
      <w:r>
        <w:pict>
          <v:rect style="width:0;height:1.5pt" o:hralign="center" o:hrstd="t" o:hr="t"/>
        </w:pict>
      </w:r>
    </w:p>
    <w:bookmarkEnd w:id="38"/>
    <w:bookmarkStart w:id="39" w:name="intelligence-storage"/>
    <w:p>
      <w:pPr>
        <w:pStyle w:val="Heading3"/>
      </w:pPr>
      <w:r>
        <w:t xml:space="preserve">Intelligence Storage</w:t>
      </w:r>
    </w:p>
    <w:p>
      <w:pPr>
        <w:pStyle w:val="FirstParagraph"/>
      </w:pPr>
      <w:r>
        <w:t xml:space="preserve">Stores business intelligence assets.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Reports</w:t>
      </w:r>
    </w:p>
    <w:p>
      <w:pPr>
        <w:pStyle w:val="Compact"/>
        <w:numPr>
          <w:ilvl w:val="0"/>
          <w:numId w:val="1007"/>
        </w:numPr>
      </w:pPr>
      <w:r>
        <w:t xml:space="preserve">Opportunities</w:t>
      </w:r>
    </w:p>
    <w:p>
      <w:pPr>
        <w:pStyle w:val="Compact"/>
        <w:numPr>
          <w:ilvl w:val="0"/>
          <w:numId w:val="1007"/>
        </w:numPr>
      </w:pPr>
      <w:r>
        <w:t xml:space="preserve">Commercial Intelligence Assets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chapter-35"/>
    <w:p>
      <w:pPr>
        <w:pStyle w:val="Heading1"/>
      </w:pPr>
      <w:r>
        <w:t xml:space="preserve">CHAPTER 35</w:t>
      </w:r>
    </w:p>
    <w:bookmarkEnd w:id="42"/>
    <w:bookmarkStart w:id="51" w:name="database-architecture"/>
    <w:p>
      <w:pPr>
        <w:pStyle w:val="Heading1"/>
      </w:pPr>
      <w:r>
        <w:t xml:space="preserve">DATABASE ARCHITECTURE</w:t>
      </w:r>
    </w:p>
    <w:bookmarkStart w:id="43" w:name="purpose-2"/>
    <w:p>
      <w:pPr>
        <w:pStyle w:val="Heading2"/>
      </w:pPr>
      <w:r>
        <w:t xml:space="preserve">35.1 Purpose</w:t>
      </w:r>
    </w:p>
    <w:p>
      <w:pPr>
        <w:pStyle w:val="FirstParagraph"/>
      </w:pPr>
      <w:r>
        <w:t xml:space="preserve">Database Architecture defines how structured information is managed.</w:t>
      </w:r>
    </w:p>
    <w:p>
      <w:r>
        <w:pict>
          <v:rect style="width:0;height:1.5pt" o:hralign="center" o:hrstd="t" o:hr="t"/>
        </w:pict>
      </w:r>
    </w:p>
    <w:bookmarkEnd w:id="43"/>
    <w:bookmarkStart w:id="44" w:name="database-objectives"/>
    <w:p>
      <w:pPr>
        <w:pStyle w:val="Heading2"/>
      </w:pPr>
      <w:r>
        <w:t xml:space="preserve">35.2 Database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8"/>
        </w:numPr>
      </w:pPr>
      <w:r>
        <w:t xml:space="preserve">Data Integrity</w:t>
      </w:r>
    </w:p>
    <w:p>
      <w:pPr>
        <w:pStyle w:val="Compact"/>
        <w:numPr>
          <w:ilvl w:val="0"/>
          <w:numId w:val="1008"/>
        </w:numPr>
      </w:pPr>
      <w:r>
        <w:t xml:space="preserve">Consistency</w:t>
      </w:r>
    </w:p>
    <w:p>
      <w:pPr>
        <w:pStyle w:val="Compact"/>
        <w:numPr>
          <w:ilvl w:val="0"/>
          <w:numId w:val="1008"/>
        </w:numPr>
      </w:pPr>
      <w:r>
        <w:t xml:space="preserve">Performance</w:t>
      </w:r>
    </w:p>
    <w:p>
      <w:pPr>
        <w:pStyle w:val="Compact"/>
        <w:numPr>
          <w:ilvl w:val="0"/>
          <w:numId w:val="1008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44"/>
    <w:bookmarkStart w:id="49" w:name="database-categories"/>
    <w:p>
      <w:pPr>
        <w:pStyle w:val="Heading2"/>
      </w:pPr>
      <w:r>
        <w:t xml:space="preserve">35.3 Database Categories</w:t>
      </w:r>
    </w:p>
    <w:bookmarkStart w:id="45" w:name="operational-databases"/>
    <w:p>
      <w:pPr>
        <w:pStyle w:val="Heading3"/>
      </w:pPr>
      <w:r>
        <w:t xml:space="preserve">Operational Databases</w:t>
      </w:r>
    </w:p>
    <w:p>
      <w:pPr>
        <w:pStyle w:val="FirstParagraph"/>
      </w:pPr>
      <w:r>
        <w:t xml:space="preserve">Support daily platform operations.</w:t>
      </w:r>
    </w:p>
    <w:p>
      <w:r>
        <w:pict>
          <v:rect style="width:0;height:1.5pt" o:hralign="center" o:hrstd="t" o:hr="t"/>
        </w:pict>
      </w:r>
    </w:p>
    <w:bookmarkEnd w:id="45"/>
    <w:bookmarkStart w:id="46" w:name="knowledge-databases"/>
    <w:p>
      <w:pPr>
        <w:pStyle w:val="Heading3"/>
      </w:pPr>
      <w:r>
        <w:t xml:space="preserve">Knowledge Databases</w:t>
      </w:r>
    </w:p>
    <w:p>
      <w:pPr>
        <w:pStyle w:val="FirstParagraph"/>
      </w:pPr>
      <w:r>
        <w:t xml:space="preserve">Support entity and relationship management.</w:t>
      </w:r>
    </w:p>
    <w:p>
      <w:r>
        <w:pict>
          <v:rect style="width:0;height:1.5pt" o:hralign="center" o:hrstd="t" o:hr="t"/>
        </w:pict>
      </w:r>
    </w:p>
    <w:bookmarkEnd w:id="46"/>
    <w:bookmarkStart w:id="47" w:name="governance-databases"/>
    <w:p>
      <w:pPr>
        <w:pStyle w:val="Heading3"/>
      </w:pPr>
      <w:r>
        <w:t xml:space="preserve">Governance Databases</w:t>
      </w:r>
    </w:p>
    <w:p>
      <w:pPr>
        <w:pStyle w:val="FirstParagraph"/>
      </w:pPr>
      <w:r>
        <w:t xml:space="preserve">Support auditing and compliance.</w:t>
      </w:r>
    </w:p>
    <w:p>
      <w:r>
        <w:pict>
          <v:rect style="width:0;height:1.5pt" o:hralign="center" o:hrstd="t" o:hr="t"/>
        </w:pict>
      </w:r>
    </w:p>
    <w:bookmarkEnd w:id="47"/>
    <w:bookmarkStart w:id="48" w:name="analytical-databases"/>
    <w:p>
      <w:pPr>
        <w:pStyle w:val="Heading3"/>
      </w:pPr>
      <w:r>
        <w:t xml:space="preserve">Analytical Databases</w:t>
      </w:r>
    </w:p>
    <w:p>
      <w:pPr>
        <w:pStyle w:val="FirstParagraph"/>
      </w:pPr>
      <w:r>
        <w:t xml:space="preserve">Support intelligence generation.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tabase-governance"/>
    <w:p>
      <w:pPr>
        <w:pStyle w:val="Heading2"/>
      </w:pPr>
      <w:r>
        <w:t xml:space="preserve">35.4 Database Governance</w:t>
      </w:r>
    </w:p>
    <w:p>
      <w:pPr>
        <w:pStyle w:val="FirstParagraph"/>
      </w:pPr>
      <w:r>
        <w:t xml:space="preserve">All databases shall support:</w:t>
      </w:r>
    </w:p>
    <w:p>
      <w:pPr>
        <w:pStyle w:val="Compact"/>
        <w:numPr>
          <w:ilvl w:val="0"/>
          <w:numId w:val="1009"/>
        </w:numPr>
      </w:pPr>
      <w:r>
        <w:t xml:space="preserve">Backup</w:t>
      </w:r>
    </w:p>
    <w:p>
      <w:pPr>
        <w:pStyle w:val="Compact"/>
        <w:numPr>
          <w:ilvl w:val="0"/>
          <w:numId w:val="1009"/>
        </w:numPr>
      </w:pPr>
      <w:r>
        <w:t xml:space="preserve">Recovery</w:t>
      </w:r>
    </w:p>
    <w:p>
      <w:pPr>
        <w:pStyle w:val="Compact"/>
        <w:numPr>
          <w:ilvl w:val="0"/>
          <w:numId w:val="1009"/>
        </w:numPr>
      </w:pPr>
      <w:r>
        <w:t xml:space="preserve">Monitoring</w:t>
      </w:r>
    </w:p>
    <w:p>
      <w:pPr>
        <w:pStyle w:val="Compact"/>
        <w:numPr>
          <w:ilvl w:val="0"/>
          <w:numId w:val="1009"/>
        </w:numPr>
      </w:pPr>
      <w:r>
        <w:t xml:space="preserve">Auditability</w:t>
      </w:r>
    </w:p>
    <w:p>
      <w:pPr>
        <w:pStyle w:val="Compact"/>
        <w:numPr>
          <w:ilvl w:val="0"/>
          <w:numId w:val="1009"/>
        </w:numPr>
      </w:pPr>
      <w:r>
        <w:t xml:space="preserve">Access Control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hapter-36"/>
    <w:p>
      <w:pPr>
        <w:pStyle w:val="Heading1"/>
      </w:pPr>
      <w:r>
        <w:t xml:space="preserve">CHAPTER 36</w:t>
      </w:r>
    </w:p>
    <w:bookmarkEnd w:id="52"/>
    <w:bookmarkStart w:id="60" w:name="search-infrastructure-architecture"/>
    <w:p>
      <w:pPr>
        <w:pStyle w:val="Heading1"/>
      </w:pPr>
      <w:r>
        <w:t xml:space="preserve">SEARCH INFRASTRUCTURE ARCHITECTURE</w:t>
      </w:r>
    </w:p>
    <w:bookmarkStart w:id="53" w:name="purpose-3"/>
    <w:p>
      <w:pPr>
        <w:pStyle w:val="Heading2"/>
      </w:pPr>
      <w:r>
        <w:t xml:space="preserve">36.1 Purpose</w:t>
      </w:r>
    </w:p>
    <w:p>
      <w:pPr>
        <w:pStyle w:val="FirstParagraph"/>
      </w:pPr>
      <w:r>
        <w:t xml:space="preserve">Search Infrastructure enables discoverability across enterprise assets.</w:t>
      </w:r>
    </w:p>
    <w:p>
      <w:r>
        <w:pict>
          <v:rect style="width:0;height:1.5pt" o:hralign="center" o:hrstd="t" o:hr="t"/>
        </w:pict>
      </w:r>
    </w:p>
    <w:bookmarkEnd w:id="53"/>
    <w:bookmarkStart w:id="58" w:name="search-infrastructure-components"/>
    <w:p>
      <w:pPr>
        <w:pStyle w:val="Heading2"/>
      </w:pPr>
      <w:r>
        <w:t xml:space="preserve">36.2 Search Infrastructure Components</w:t>
      </w:r>
    </w:p>
    <w:bookmarkStart w:id="54" w:name="indexing-layer"/>
    <w:p>
      <w:pPr>
        <w:pStyle w:val="Heading3"/>
      </w:pPr>
      <w:r>
        <w:t xml:space="preserve">Indexing Layer</w:t>
      </w:r>
    </w:p>
    <w:p>
      <w:pPr>
        <w:pStyle w:val="FirstParagraph"/>
      </w:pPr>
      <w:r>
        <w:t xml:space="preserve">Creates searchable indexes.</w:t>
      </w:r>
    </w:p>
    <w:p>
      <w:r>
        <w:pict>
          <v:rect style="width:0;height:1.5pt" o:hralign="center" o:hrstd="t" o:hr="t"/>
        </w:pict>
      </w:r>
    </w:p>
    <w:bookmarkEnd w:id="54"/>
    <w:bookmarkStart w:id="55" w:name="query-layer"/>
    <w:p>
      <w:pPr>
        <w:pStyle w:val="Heading3"/>
      </w:pPr>
      <w:r>
        <w:t xml:space="preserve">Query Layer</w:t>
      </w:r>
    </w:p>
    <w:p>
      <w:pPr>
        <w:pStyle w:val="FirstParagraph"/>
      </w:pPr>
      <w:r>
        <w:t xml:space="preserve">Processes search requests.</w:t>
      </w:r>
    </w:p>
    <w:p>
      <w:r>
        <w:pict>
          <v:rect style="width:0;height:1.5pt" o:hralign="center" o:hrstd="t" o:hr="t"/>
        </w:pict>
      </w:r>
    </w:p>
    <w:bookmarkEnd w:id="55"/>
    <w:bookmarkStart w:id="56" w:name="ranking-layer"/>
    <w:p>
      <w:pPr>
        <w:pStyle w:val="Heading3"/>
      </w:pPr>
      <w:r>
        <w:t xml:space="preserve">Ranking Layer</w:t>
      </w:r>
    </w:p>
    <w:p>
      <w:pPr>
        <w:pStyle w:val="FirstParagraph"/>
      </w:pPr>
      <w:r>
        <w:t xml:space="preserve">Determines relevance.</w:t>
      </w:r>
    </w:p>
    <w:p>
      <w:r>
        <w:pict>
          <v:rect style="width:0;height:1.5pt" o:hralign="center" o:hrstd="t" o:hr="t"/>
        </w:pict>
      </w:r>
    </w:p>
    <w:bookmarkEnd w:id="56"/>
    <w:bookmarkStart w:id="57" w:name="result-layer"/>
    <w:p>
      <w:pPr>
        <w:pStyle w:val="Heading3"/>
      </w:pPr>
      <w:r>
        <w:t xml:space="preserve">Result Layer</w:t>
      </w:r>
    </w:p>
    <w:p>
      <w:pPr>
        <w:pStyle w:val="FirstParagraph"/>
      </w:pPr>
      <w:r>
        <w:t xml:space="preserve">Returns enterprise search results.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earch-objectives"/>
    <w:p>
      <w:pPr>
        <w:pStyle w:val="Heading2"/>
      </w:pPr>
      <w:r>
        <w:t xml:space="preserve">36.3 Search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Speed</w:t>
      </w:r>
    </w:p>
    <w:p>
      <w:pPr>
        <w:pStyle w:val="Compact"/>
        <w:numPr>
          <w:ilvl w:val="0"/>
          <w:numId w:val="1010"/>
        </w:numPr>
      </w:pPr>
      <w:r>
        <w:t xml:space="preserve">Accuracy</w:t>
      </w:r>
    </w:p>
    <w:p>
      <w:pPr>
        <w:pStyle w:val="Compact"/>
        <w:numPr>
          <w:ilvl w:val="0"/>
          <w:numId w:val="1010"/>
        </w:numPr>
      </w:pPr>
      <w:r>
        <w:t xml:space="preserve">Relevance</w:t>
      </w:r>
    </w:p>
    <w:p>
      <w:pPr>
        <w:pStyle w:val="Compact"/>
        <w:numPr>
          <w:ilvl w:val="0"/>
          <w:numId w:val="1010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apter-37"/>
    <w:p>
      <w:pPr>
        <w:pStyle w:val="Heading1"/>
      </w:pPr>
      <w:r>
        <w:t xml:space="preserve">CHAPTER 37</w:t>
      </w:r>
    </w:p>
    <w:bookmarkEnd w:id="61"/>
    <w:bookmarkStart w:id="72" w:name="scalability-architecture"/>
    <w:p>
      <w:pPr>
        <w:pStyle w:val="Heading1"/>
      </w:pPr>
      <w:r>
        <w:t xml:space="preserve">SCALABILITY ARCHITECTURE</w:t>
      </w:r>
    </w:p>
    <w:bookmarkStart w:id="62" w:name="purpose-4"/>
    <w:p>
      <w:pPr>
        <w:pStyle w:val="Heading2"/>
      </w:pPr>
      <w:r>
        <w:t xml:space="preserve">37.1 Purpose</w:t>
      </w:r>
    </w:p>
    <w:p>
      <w:pPr>
        <w:pStyle w:val="FirstParagraph"/>
      </w:pPr>
      <w:r>
        <w:t xml:space="preserve">Scalability Architecture ensures CSI can grow without architectural instability.</w:t>
      </w:r>
    </w:p>
    <w:p>
      <w:r>
        <w:pict>
          <v:rect style="width:0;height:1.5pt" o:hralign="center" o:hrstd="t" o:hr="t"/>
        </w:pict>
      </w:r>
    </w:p>
    <w:bookmarkEnd w:id="62"/>
    <w:bookmarkStart w:id="67" w:name="scalability-dimensions"/>
    <w:p>
      <w:pPr>
        <w:pStyle w:val="Heading2"/>
      </w:pPr>
      <w:r>
        <w:t xml:space="preserve">37.2 Scalability Dimensions</w:t>
      </w:r>
    </w:p>
    <w:bookmarkStart w:id="63" w:name="data-scalability"/>
    <w:p>
      <w:pPr>
        <w:pStyle w:val="Heading3"/>
      </w:pPr>
      <w:r>
        <w:t xml:space="preserve">Data Scalability</w:t>
      </w:r>
    </w:p>
    <w:p>
      <w:pPr>
        <w:pStyle w:val="FirstParagraph"/>
      </w:pPr>
      <w:r>
        <w:t xml:space="preserve">Growth of information assets.</w:t>
      </w:r>
    </w:p>
    <w:p>
      <w:r>
        <w:pict>
          <v:rect style="width:0;height:1.5pt" o:hralign="center" o:hrstd="t" o:hr="t"/>
        </w:pict>
      </w:r>
    </w:p>
    <w:bookmarkEnd w:id="63"/>
    <w:bookmarkStart w:id="64" w:name="user-scalability"/>
    <w:p>
      <w:pPr>
        <w:pStyle w:val="Heading3"/>
      </w:pPr>
      <w:r>
        <w:t xml:space="preserve">User Scalability</w:t>
      </w:r>
    </w:p>
    <w:p>
      <w:pPr>
        <w:pStyle w:val="FirstParagraph"/>
      </w:pPr>
      <w:r>
        <w:t xml:space="preserve">Growth of platform consumers.</w:t>
      </w:r>
    </w:p>
    <w:p>
      <w:r>
        <w:pict>
          <v:rect style="width:0;height:1.5pt" o:hralign="center" o:hrstd="t" o:hr="t"/>
        </w:pict>
      </w:r>
    </w:p>
    <w:bookmarkEnd w:id="64"/>
    <w:bookmarkStart w:id="65" w:name="workflow-scalability"/>
    <w:p>
      <w:pPr>
        <w:pStyle w:val="Heading3"/>
      </w:pPr>
      <w:r>
        <w:t xml:space="preserve">Workflow Scalability</w:t>
      </w:r>
    </w:p>
    <w:p>
      <w:pPr>
        <w:pStyle w:val="FirstParagraph"/>
      </w:pPr>
      <w:r>
        <w:t xml:space="preserve">Growth of processing workloads.</w:t>
      </w:r>
    </w:p>
    <w:p>
      <w:r>
        <w:pict>
          <v:rect style="width:0;height:1.5pt" o:hralign="center" o:hrstd="t" o:hr="t"/>
        </w:pict>
      </w:r>
    </w:p>
    <w:bookmarkEnd w:id="65"/>
    <w:bookmarkStart w:id="66" w:name="intelligence-scalability"/>
    <w:p>
      <w:pPr>
        <w:pStyle w:val="Heading3"/>
      </w:pPr>
      <w:r>
        <w:t xml:space="preserve">Intelligence Scalability</w:t>
      </w:r>
    </w:p>
    <w:p>
      <w:pPr>
        <w:pStyle w:val="FirstParagraph"/>
      </w:pPr>
      <w:r>
        <w:t xml:space="preserve">Growth of intelligence assets.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calability-principles"/>
    <w:p>
      <w:pPr>
        <w:pStyle w:val="Heading2"/>
      </w:pPr>
      <w:r>
        <w:t xml:space="preserve">37.3 Scalability Principles</w:t>
      </w:r>
    </w:p>
    <w:bookmarkStart w:id="68" w:name="horizontal-scaling"/>
    <w:p>
      <w:pPr>
        <w:pStyle w:val="Heading3"/>
      </w:pPr>
      <w:r>
        <w:t xml:space="preserve">Horizontal Scaling</w:t>
      </w:r>
    </w:p>
    <w:p>
      <w:pPr>
        <w:pStyle w:val="FirstParagraph"/>
      </w:pPr>
      <w:r>
        <w:t xml:space="preserve">Preferred whenever possible.</w:t>
      </w:r>
    </w:p>
    <w:p>
      <w:r>
        <w:pict>
          <v:rect style="width:0;height:1.5pt" o:hralign="center" o:hrstd="t" o:hr="t"/>
        </w:pict>
      </w:r>
    </w:p>
    <w:bookmarkEnd w:id="68"/>
    <w:bookmarkStart w:id="69" w:name="resource-isolation"/>
    <w:p>
      <w:pPr>
        <w:pStyle w:val="Heading3"/>
      </w:pPr>
      <w:r>
        <w:t xml:space="preserve">Resource Isolation</w:t>
      </w:r>
    </w:p>
    <w:p>
      <w:pPr>
        <w:pStyle w:val="FirstParagraph"/>
      </w:pPr>
      <w:r>
        <w:t xml:space="preserve">Workloads should remain independent.</w:t>
      </w:r>
    </w:p>
    <w:p>
      <w:r>
        <w:pict>
          <v:rect style="width:0;height:1.5pt" o:hralign="center" o:hrstd="t" o:hr="t"/>
        </w:pict>
      </w:r>
    </w:p>
    <w:bookmarkEnd w:id="69"/>
    <w:bookmarkStart w:id="70" w:name="elastic-capacity"/>
    <w:p>
      <w:pPr>
        <w:pStyle w:val="Heading3"/>
      </w:pPr>
      <w:r>
        <w:t xml:space="preserve">Elastic Capacity</w:t>
      </w:r>
    </w:p>
    <w:p>
      <w:pPr>
        <w:pStyle w:val="FirstParagraph"/>
      </w:pPr>
      <w:r>
        <w:t xml:space="preserve">Resources should expand as needed.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chapter-38"/>
    <w:p>
      <w:pPr>
        <w:pStyle w:val="Heading1"/>
      </w:pPr>
      <w:r>
        <w:t xml:space="preserve">CHAPTER 38</w:t>
      </w:r>
    </w:p>
    <w:bookmarkEnd w:id="73"/>
    <w:bookmarkStart w:id="82" w:name="performance-architecture"/>
    <w:p>
      <w:pPr>
        <w:pStyle w:val="Heading1"/>
      </w:pPr>
      <w:r>
        <w:t xml:space="preserve">PERFORMANCE ARCHITECTURE</w:t>
      </w:r>
    </w:p>
    <w:bookmarkStart w:id="74" w:name="purpose-5"/>
    <w:p>
      <w:pPr>
        <w:pStyle w:val="Heading2"/>
      </w:pPr>
      <w:r>
        <w:t xml:space="preserve">38.1 Purpose</w:t>
      </w:r>
    </w:p>
    <w:p>
      <w:pPr>
        <w:pStyle w:val="FirstParagraph"/>
      </w:pPr>
      <w:r>
        <w:t xml:space="preserve">Performance Architecture ensures enterprise responsiveness and efficiency.</w:t>
      </w:r>
    </w:p>
    <w:p>
      <w:r>
        <w:pict>
          <v:rect style="width:0;height:1.5pt" o:hralign="center" o:hrstd="t" o:hr="t"/>
        </w:pict>
      </w:r>
    </w:p>
    <w:bookmarkEnd w:id="74"/>
    <w:bookmarkStart w:id="75" w:name="performance-objectives"/>
    <w:p>
      <w:pPr>
        <w:pStyle w:val="Heading2"/>
      </w:pPr>
      <w:r>
        <w:t xml:space="preserve">38.2 Performance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1"/>
        </w:numPr>
      </w:pPr>
      <w:r>
        <w:t xml:space="preserve">Low Latency</w:t>
      </w:r>
    </w:p>
    <w:p>
      <w:pPr>
        <w:pStyle w:val="Compact"/>
        <w:numPr>
          <w:ilvl w:val="0"/>
          <w:numId w:val="1011"/>
        </w:numPr>
      </w:pPr>
      <w:r>
        <w:t xml:space="preserve">High Throughput</w:t>
      </w:r>
    </w:p>
    <w:p>
      <w:pPr>
        <w:pStyle w:val="Compact"/>
        <w:numPr>
          <w:ilvl w:val="0"/>
          <w:numId w:val="1011"/>
        </w:numPr>
      </w:pPr>
      <w:r>
        <w:t xml:space="preserve">Predictable Behavior</w:t>
      </w:r>
    </w:p>
    <w:p>
      <w:pPr>
        <w:pStyle w:val="Compact"/>
        <w:numPr>
          <w:ilvl w:val="0"/>
          <w:numId w:val="1011"/>
        </w:numPr>
      </w:pPr>
      <w:r>
        <w:t xml:space="preserve">Operational Efficiency</w:t>
      </w:r>
    </w:p>
    <w:p>
      <w:r>
        <w:pict>
          <v:rect style="width:0;height:1.5pt" o:hralign="center" o:hrstd="t" o:hr="t"/>
        </w:pict>
      </w:r>
    </w:p>
    <w:bookmarkEnd w:id="75"/>
    <w:bookmarkStart w:id="80" w:name="performance-domains"/>
    <w:p>
      <w:pPr>
        <w:pStyle w:val="Heading2"/>
      </w:pPr>
      <w:r>
        <w:t xml:space="preserve">38.3 Performance Domains</w:t>
      </w:r>
    </w:p>
    <w:bookmarkStart w:id="76" w:name="collection-performance"/>
    <w:p>
      <w:pPr>
        <w:pStyle w:val="Heading3"/>
      </w:pPr>
      <w:r>
        <w:t xml:space="preserve">Collection Performance</w:t>
      </w:r>
    </w:p>
    <w:p>
      <w:pPr>
        <w:pStyle w:val="FirstParagraph"/>
      </w:pPr>
      <w:r>
        <w:t xml:space="preserve">Acquisition efficiency.</w:t>
      </w:r>
    </w:p>
    <w:p>
      <w:r>
        <w:pict>
          <v:rect style="width:0;height:1.5pt" o:hralign="center" o:hrstd="t" o:hr="t"/>
        </w:pict>
      </w:r>
    </w:p>
    <w:bookmarkEnd w:id="76"/>
    <w:bookmarkStart w:id="77" w:name="processing-performance"/>
    <w:p>
      <w:pPr>
        <w:pStyle w:val="Heading3"/>
      </w:pPr>
      <w:r>
        <w:t xml:space="preserve">Processing Performance</w:t>
      </w:r>
    </w:p>
    <w:p>
      <w:pPr>
        <w:pStyle w:val="FirstParagraph"/>
      </w:pPr>
      <w:r>
        <w:t xml:space="preserve">Transformation efficiency.</w:t>
      </w:r>
    </w:p>
    <w:p>
      <w:r>
        <w:pict>
          <v:rect style="width:0;height:1.5pt" o:hralign="center" o:hrstd="t" o:hr="t"/>
        </w:pict>
      </w:r>
    </w:p>
    <w:bookmarkEnd w:id="77"/>
    <w:bookmarkStart w:id="78" w:name="search-performance"/>
    <w:p>
      <w:pPr>
        <w:pStyle w:val="Heading3"/>
      </w:pPr>
      <w:r>
        <w:t xml:space="preserve">Search Performance</w:t>
      </w:r>
    </w:p>
    <w:p>
      <w:pPr>
        <w:pStyle w:val="FirstParagraph"/>
      </w:pPr>
      <w:r>
        <w:t xml:space="preserve">Query responsiveness.</w:t>
      </w:r>
    </w:p>
    <w:p>
      <w:r>
        <w:pict>
          <v:rect style="width:0;height:1.5pt" o:hralign="center" o:hrstd="t" o:hr="t"/>
        </w:pict>
      </w:r>
    </w:p>
    <w:bookmarkEnd w:id="78"/>
    <w:bookmarkStart w:id="79" w:name="intelligence-performance"/>
    <w:p>
      <w:pPr>
        <w:pStyle w:val="Heading3"/>
      </w:pPr>
      <w:r>
        <w:t xml:space="preserve">Intelligence Performance</w:t>
      </w:r>
    </w:p>
    <w:p>
      <w:pPr>
        <w:pStyle w:val="FirstParagraph"/>
      </w:pPr>
      <w:r>
        <w:t xml:space="preserve">Analysis efficiency.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erformance-monitoring"/>
    <w:p>
      <w:pPr>
        <w:pStyle w:val="Heading2"/>
      </w:pPr>
      <w:r>
        <w:t xml:space="preserve">38.4 Performance Monitoring</w:t>
      </w:r>
    </w:p>
    <w:p>
      <w:pPr>
        <w:pStyle w:val="FirstParagraph"/>
      </w:pPr>
      <w:r>
        <w:t xml:space="preserve">Every major component shall expose:</w:t>
      </w:r>
    </w:p>
    <w:p>
      <w:pPr>
        <w:pStyle w:val="Compact"/>
        <w:numPr>
          <w:ilvl w:val="0"/>
          <w:numId w:val="1012"/>
        </w:numPr>
      </w:pPr>
      <w:r>
        <w:t xml:space="preserve">Throughput Metrics</w:t>
      </w:r>
    </w:p>
    <w:p>
      <w:pPr>
        <w:pStyle w:val="Compact"/>
        <w:numPr>
          <w:ilvl w:val="0"/>
          <w:numId w:val="1012"/>
        </w:numPr>
      </w:pPr>
      <w:r>
        <w:t xml:space="preserve">Latency Metrics</w:t>
      </w:r>
    </w:p>
    <w:p>
      <w:pPr>
        <w:pStyle w:val="Compact"/>
        <w:numPr>
          <w:ilvl w:val="0"/>
          <w:numId w:val="1012"/>
        </w:numPr>
      </w:pPr>
      <w:r>
        <w:t xml:space="preserve">Utilization Metrics</w:t>
      </w:r>
    </w:p>
    <w:p>
      <w:pPr>
        <w:pStyle w:val="Compact"/>
        <w:numPr>
          <w:ilvl w:val="0"/>
          <w:numId w:val="1012"/>
        </w:numPr>
      </w:pPr>
      <w:r>
        <w:t xml:space="preserve">Error Metrics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apter-39"/>
    <w:p>
      <w:pPr>
        <w:pStyle w:val="Heading1"/>
      </w:pPr>
      <w:r>
        <w:t xml:space="preserve">CHAPTER 39</w:t>
      </w:r>
    </w:p>
    <w:bookmarkEnd w:id="83"/>
    <w:bookmarkStart w:id="91" w:name="capacity-planning-architecture"/>
    <w:p>
      <w:pPr>
        <w:pStyle w:val="Heading1"/>
      </w:pPr>
      <w:r>
        <w:t xml:space="preserve">CAPACITY PLANNING ARCHITECTURE</w:t>
      </w:r>
    </w:p>
    <w:bookmarkStart w:id="84" w:name="purpose-6"/>
    <w:p>
      <w:pPr>
        <w:pStyle w:val="Heading2"/>
      </w:pPr>
      <w:r>
        <w:t xml:space="preserve">39.1 Purpose</w:t>
      </w:r>
    </w:p>
    <w:p>
      <w:pPr>
        <w:pStyle w:val="FirstParagraph"/>
      </w:pPr>
      <w:r>
        <w:t xml:space="preserve">Capacity Planning ensures sufficient resources are available for future growth.</w:t>
      </w:r>
    </w:p>
    <w:p>
      <w:r>
        <w:pict>
          <v:rect style="width:0;height:1.5pt" o:hralign="center" o:hrstd="t" o:hr="t"/>
        </w:pict>
      </w:r>
    </w:p>
    <w:bookmarkEnd w:id="84"/>
    <w:bookmarkStart w:id="89" w:name="capacity-domains"/>
    <w:p>
      <w:pPr>
        <w:pStyle w:val="Heading2"/>
      </w:pPr>
      <w:r>
        <w:t xml:space="preserve">39.2 Capacity Domains</w:t>
      </w:r>
    </w:p>
    <w:bookmarkStart w:id="85" w:name="compute-capacity"/>
    <w:p>
      <w:pPr>
        <w:pStyle w:val="Heading3"/>
      </w:pPr>
      <w:r>
        <w:t xml:space="preserve">Compute Capacity</w:t>
      </w:r>
    </w:p>
    <w:p>
      <w:pPr>
        <w:pStyle w:val="FirstParagraph"/>
      </w:pPr>
      <w:r>
        <w:t xml:space="preserve">CPU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Processing Resources</w:t>
      </w:r>
    </w:p>
    <w:p>
      <w:r>
        <w:pict>
          <v:rect style="width:0;height:1.5pt" o:hralign="center" o:hrstd="t" o:hr="t"/>
        </w:pict>
      </w:r>
    </w:p>
    <w:bookmarkEnd w:id="85"/>
    <w:bookmarkStart w:id="86" w:name="storage-capacity"/>
    <w:p>
      <w:pPr>
        <w:pStyle w:val="Heading3"/>
      </w:pPr>
      <w:r>
        <w:t xml:space="preserve">Storage Capacity</w:t>
      </w:r>
    </w:p>
    <w:p>
      <w:pPr>
        <w:pStyle w:val="FirstParagraph"/>
      </w:pPr>
      <w:r>
        <w:t xml:space="preserve">Data Growth</w:t>
      </w:r>
    </w:p>
    <w:p>
      <w:pPr>
        <w:pStyle w:val="BodyText"/>
      </w:pPr>
      <w:r>
        <w:t xml:space="preserve">Knowledge Growth</w:t>
      </w:r>
    </w:p>
    <w:p>
      <w:pPr>
        <w:pStyle w:val="BodyText"/>
      </w:pPr>
      <w:r>
        <w:t xml:space="preserve">Intelligence Growth</w:t>
      </w:r>
    </w:p>
    <w:p>
      <w:r>
        <w:pict>
          <v:rect style="width:0;height:1.5pt" o:hralign="center" o:hrstd="t" o:hr="t"/>
        </w:pict>
      </w:r>
    </w:p>
    <w:bookmarkEnd w:id="86"/>
    <w:bookmarkStart w:id="87" w:name="search-capacity"/>
    <w:p>
      <w:pPr>
        <w:pStyle w:val="Heading3"/>
      </w:pPr>
      <w:r>
        <w:t xml:space="preserve">Search Capacity</w:t>
      </w:r>
    </w:p>
    <w:p>
      <w:pPr>
        <w:pStyle w:val="FirstParagraph"/>
      </w:pPr>
      <w:r>
        <w:t xml:space="preserve">Index Growth</w:t>
      </w:r>
    </w:p>
    <w:p>
      <w:pPr>
        <w:pStyle w:val="BodyText"/>
      </w:pPr>
      <w:r>
        <w:t xml:space="preserve">Query Volume</w:t>
      </w:r>
    </w:p>
    <w:p>
      <w:r>
        <w:pict>
          <v:rect style="width:0;height:1.5pt" o:hralign="center" o:hrstd="t" o:hr="t"/>
        </w:pict>
      </w:r>
    </w:p>
    <w:bookmarkEnd w:id="87"/>
    <w:bookmarkStart w:id="88" w:name="network-capacity"/>
    <w:p>
      <w:pPr>
        <w:pStyle w:val="Heading3"/>
      </w:pPr>
      <w:r>
        <w:t xml:space="preserve">Network Capacity</w:t>
      </w:r>
    </w:p>
    <w:p>
      <w:pPr>
        <w:pStyle w:val="FirstParagraph"/>
      </w:pPr>
      <w:r>
        <w:t xml:space="preserve">Traffic Growth</w:t>
      </w:r>
    </w:p>
    <w:p>
      <w:pPr>
        <w:pStyle w:val="BodyText"/>
      </w:pPr>
      <w:r>
        <w:t xml:space="preserve">Integration Growth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planning-lifecycle"/>
    <w:p>
      <w:pPr>
        <w:pStyle w:val="Heading2"/>
      </w:pPr>
      <w:r>
        <w:t xml:space="preserve">39.3 Planning Lifecycle</w:t>
      </w:r>
    </w:p>
    <w:p>
      <w:pPr>
        <w:pStyle w:val="FirstParagraph"/>
      </w:pPr>
      <w:r>
        <w:t xml:space="preserve">Current State 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Growth Forecasting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Capacity Modeling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Resource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Continuous Review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hapter-40"/>
    <w:p>
      <w:pPr>
        <w:pStyle w:val="Heading1"/>
      </w:pPr>
      <w:r>
        <w:t xml:space="preserve">CHAPTER 40</w:t>
      </w:r>
    </w:p>
    <w:bookmarkEnd w:id="92"/>
    <w:bookmarkStart w:id="99" w:name="enterprise-architecture-readiness-model"/>
    <w:p>
      <w:pPr>
        <w:pStyle w:val="Heading1"/>
      </w:pPr>
      <w:r>
        <w:t xml:space="preserve">ENTERPRISE ARCHITECTURE READINESS MODEL</w:t>
      </w:r>
    </w:p>
    <w:bookmarkStart w:id="93" w:name="purpose-7"/>
    <w:p>
      <w:pPr>
        <w:pStyle w:val="Heading2"/>
      </w:pPr>
      <w:r>
        <w:t xml:space="preserve">40.1 Purpose</w:t>
      </w:r>
    </w:p>
    <w:p>
      <w:pPr>
        <w:pStyle w:val="FirstParagraph"/>
      </w:pPr>
      <w:r>
        <w:t xml:space="preserve">This model evaluates architectural maturity.</w:t>
      </w:r>
    </w:p>
    <w:p>
      <w:r>
        <w:pict>
          <v:rect style="width:0;height:1.5pt" o:hralign="center" o:hrstd="t" o:hr="t"/>
        </w:pict>
      </w:r>
    </w:p>
    <w:bookmarkEnd w:id="93"/>
    <w:bookmarkStart w:id="94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Initial</w:t>
      </w:r>
    </w:p>
    <w:p>
      <w:pPr>
        <w:pStyle w:val="BodyText"/>
      </w:pPr>
      <w:r>
        <w:t xml:space="preserve">Ad-hoc implementation.</w:t>
      </w:r>
    </w:p>
    <w:p>
      <w:r>
        <w:pict>
          <v:rect style="width:0;height:1.5pt" o:hralign="center" o:hrstd="t" o:hr="t"/>
        </w:pict>
      </w:r>
    </w:p>
    <w:bookmarkEnd w:id="94"/>
    <w:bookmarkStart w:id="95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Managed</w:t>
      </w:r>
    </w:p>
    <w:p>
      <w:pPr>
        <w:pStyle w:val="BodyText"/>
      </w:pPr>
      <w:r>
        <w:t xml:space="preserve">Basic governance exists.</w:t>
      </w:r>
    </w:p>
    <w:p>
      <w:r>
        <w:pict>
          <v:rect style="width:0;height:1.5pt" o:hralign="center" o:hrstd="t" o:hr="t"/>
        </w:pict>
      </w:r>
    </w:p>
    <w:bookmarkEnd w:id="95"/>
    <w:bookmarkStart w:id="96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Defined</w:t>
      </w:r>
    </w:p>
    <w:p>
      <w:pPr>
        <w:pStyle w:val="BodyText"/>
      </w:pPr>
      <w:r>
        <w:t xml:space="preserve">Standardized architecture exists.</w:t>
      </w:r>
    </w:p>
    <w:p>
      <w:r>
        <w:pict>
          <v:rect style="width:0;height:1.5pt" o:hralign="center" o:hrstd="t" o:hr="t"/>
        </w:pict>
      </w:r>
    </w:p>
    <w:bookmarkEnd w:id="96"/>
    <w:bookmarkStart w:id="97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Measured</w:t>
      </w:r>
    </w:p>
    <w:p>
      <w:pPr>
        <w:pStyle w:val="BodyText"/>
      </w:pPr>
      <w:r>
        <w:t xml:space="preserve">Performance and governance are measurable.</w:t>
      </w:r>
    </w:p>
    <w:p>
      <w:r>
        <w:pict>
          <v:rect style="width:0;height:1.5pt" o:hralign="center" o:hrstd="t" o:hr="t"/>
        </w:pict>
      </w:r>
    </w:p>
    <w:bookmarkEnd w:id="97"/>
    <w:bookmarkStart w:id="98" w:name="level-5"/>
    <w:p>
      <w:pPr>
        <w:pStyle w:val="Heading2"/>
      </w:pPr>
      <w:r>
        <w:t xml:space="preserve">Level 5</w:t>
      </w:r>
    </w:p>
    <w:p>
      <w:pPr>
        <w:pStyle w:val="FirstParagraph"/>
      </w:pPr>
      <w:r>
        <w:t xml:space="preserve">Optimized</w:t>
      </w:r>
    </w:p>
    <w:p>
      <w:pPr>
        <w:pStyle w:val="BodyText"/>
      </w:pPr>
      <w:r>
        <w:t xml:space="preserve">Continuous improvement is institutionalized.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art-6-completion-statement"/>
    <w:p>
      <w:pPr>
        <w:pStyle w:val="Heading1"/>
      </w:pPr>
      <w:r>
        <w:t xml:space="preserve">PART 6 COMPLETION STATEMENT</w:t>
      </w:r>
    </w:p>
    <w:p>
      <w:pPr>
        <w:pStyle w:val="FirstParagraph"/>
      </w:pPr>
      <w:r>
        <w:t xml:space="preserve">Volume II – Part 6 establishes:</w:t>
      </w:r>
    </w:p>
    <w:p>
      <w:pPr>
        <w:pStyle w:val="Compact"/>
        <w:numPr>
          <w:ilvl w:val="0"/>
          <w:numId w:val="1013"/>
        </w:numPr>
      </w:pPr>
      <w:r>
        <w:t xml:space="preserve">Infrastructure Architecture</w:t>
      </w:r>
    </w:p>
    <w:p>
      <w:pPr>
        <w:pStyle w:val="Compact"/>
        <w:numPr>
          <w:ilvl w:val="0"/>
          <w:numId w:val="1013"/>
        </w:numPr>
      </w:pPr>
      <w:r>
        <w:t xml:space="preserve">Storage Architecture</w:t>
      </w:r>
    </w:p>
    <w:p>
      <w:pPr>
        <w:pStyle w:val="Compact"/>
        <w:numPr>
          <w:ilvl w:val="0"/>
          <w:numId w:val="1013"/>
        </w:numPr>
      </w:pPr>
      <w:r>
        <w:t xml:space="preserve">Database Architecture</w:t>
      </w:r>
    </w:p>
    <w:p>
      <w:pPr>
        <w:pStyle w:val="Compact"/>
        <w:numPr>
          <w:ilvl w:val="0"/>
          <w:numId w:val="1013"/>
        </w:numPr>
      </w:pPr>
      <w:r>
        <w:t xml:space="preserve">Search Infrastructure Architecture</w:t>
      </w:r>
    </w:p>
    <w:p>
      <w:pPr>
        <w:pStyle w:val="Compact"/>
        <w:numPr>
          <w:ilvl w:val="0"/>
          <w:numId w:val="1013"/>
        </w:numPr>
      </w:pPr>
      <w:r>
        <w:t xml:space="preserve">Scalability Architecture</w:t>
      </w:r>
    </w:p>
    <w:p>
      <w:pPr>
        <w:pStyle w:val="Compact"/>
        <w:numPr>
          <w:ilvl w:val="0"/>
          <w:numId w:val="1013"/>
        </w:numPr>
      </w:pPr>
      <w:r>
        <w:t xml:space="preserve">Performance Architecture</w:t>
      </w:r>
    </w:p>
    <w:p>
      <w:pPr>
        <w:pStyle w:val="Compact"/>
        <w:numPr>
          <w:ilvl w:val="0"/>
          <w:numId w:val="1013"/>
        </w:numPr>
      </w:pPr>
      <w:r>
        <w:t xml:space="preserve">Capacity Planning Architecture</w:t>
      </w:r>
    </w:p>
    <w:p>
      <w:pPr>
        <w:pStyle w:val="Compact"/>
        <w:numPr>
          <w:ilvl w:val="0"/>
          <w:numId w:val="1013"/>
        </w:numPr>
      </w:pPr>
      <w:r>
        <w:t xml:space="preserve">Architecture Readiness Model</w:t>
      </w:r>
    </w:p>
    <w:p>
      <w:pPr>
        <w:pStyle w:val="FirstParagraph"/>
      </w:pPr>
      <w:r>
        <w:t xml:space="preserve">These domains establish the operational and technical foundations required to support enterprise-scale intelligence processing and growth.</w:t>
      </w:r>
    </w:p>
    <w:p>
      <w:r>
        <w:pict>
          <v:rect style="width:0;height:1.5pt" o:hralign="center" o:hrstd="t" o:hr="t"/>
        </w:pict>
      </w:r>
    </w:p>
    <w:bookmarkEnd w:id="100"/>
    <w:bookmarkStart w:id="101" w:name="volume-ii-completion-status"/>
    <w:p>
      <w:pPr>
        <w:pStyle w:val="Heading1"/>
      </w:pPr>
      <w:r>
        <w:t xml:space="preserve">VOLUME II COMPLETION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14"/>
        </w:numPr>
      </w:pPr>
      <w:r>
        <w:t xml:space="preserve">Part 1 — Foundation Architecture</w:t>
      </w:r>
    </w:p>
    <w:p>
      <w:pPr>
        <w:pStyle w:val="Compact"/>
        <w:numPr>
          <w:ilvl w:val="0"/>
          <w:numId w:val="1014"/>
        </w:numPr>
      </w:pPr>
      <w:r>
        <w:t xml:space="preserve">Part 2 — Data &amp; Knowledge Architecture</w:t>
      </w:r>
    </w:p>
    <w:p>
      <w:pPr>
        <w:pStyle w:val="Compact"/>
        <w:numPr>
          <w:ilvl w:val="0"/>
          <w:numId w:val="1014"/>
        </w:numPr>
      </w:pPr>
      <w:r>
        <w:t xml:space="preserve">Part 3 — Integration &amp; Service Architecture</w:t>
      </w:r>
    </w:p>
    <w:p>
      <w:pPr>
        <w:pStyle w:val="Compact"/>
        <w:numPr>
          <w:ilvl w:val="0"/>
          <w:numId w:val="1014"/>
        </w:numPr>
      </w:pPr>
      <w:r>
        <w:t xml:space="preserve">Part 4 — Intelligence &amp; Operations Architecture</w:t>
      </w:r>
    </w:p>
    <w:p>
      <w:pPr>
        <w:pStyle w:val="Compact"/>
        <w:numPr>
          <w:ilvl w:val="0"/>
          <w:numId w:val="1014"/>
        </w:numPr>
      </w:pPr>
      <w:r>
        <w:t xml:space="preserve">Part 5 — Security &amp; Resilience Architecture</w:t>
      </w:r>
    </w:p>
    <w:p>
      <w:pPr>
        <w:pStyle w:val="Compact"/>
        <w:numPr>
          <w:ilvl w:val="0"/>
          <w:numId w:val="1014"/>
        </w:numPr>
      </w:pPr>
      <w:r>
        <w:t xml:space="preserve">Part 6 — Infrastructure &amp; Scalability Architecture</w:t>
      </w:r>
    </w:p>
    <w:p>
      <w:pPr>
        <w:pStyle w:val="FirstParagraph"/>
      </w:pPr>
      <w:r>
        <w:t xml:space="preserve">Volume II Status:</w:t>
      </w:r>
    </w:p>
    <w:p>
      <w:pPr>
        <w:pStyle w:val="BodyText"/>
      </w:pPr>
      <w:r>
        <w:t xml:space="preserve">ARCHITECTURALLY COMPLETE</w:t>
      </w:r>
    </w:p>
    <w:p>
      <w:pPr>
        <w:pStyle w:val="BodyText"/>
      </w:pPr>
      <w:r>
        <w:t xml:space="preserve">Ready for Enterprise Review</w:t>
      </w:r>
    </w:p>
    <w:p>
      <w:pPr>
        <w:pStyle w:val="BodyText"/>
      </w:pPr>
      <w:r>
        <w:t xml:space="preserve">Ready for Architecture Audit</w:t>
      </w:r>
    </w:p>
    <w:p>
      <w:pPr>
        <w:pStyle w:val="BodyText"/>
      </w:pPr>
      <w:r>
        <w:t xml:space="preserve">Ready for Certification Assessment</w:t>
      </w:r>
    </w:p>
    <w:p>
      <w:r>
        <w:pict>
          <v:rect style="width:0;height:1.5pt" o:hralign="center" o:hrstd="t" o:hr="t"/>
        </w:pict>
      </w:r>
    </w:p>
    <w:bookmarkEnd w:id="101"/>
    <w:bookmarkStart w:id="102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III</w:t>
      </w:r>
    </w:p>
    <w:p>
      <w:pPr>
        <w:pStyle w:val="BodyText"/>
      </w:pPr>
      <w:r>
        <w:t xml:space="preserve">Official Stage Definitions</w:t>
      </w:r>
    </w:p>
    <w:p>
      <w:pPr>
        <w:pStyle w:val="BodyText"/>
      </w:pPr>
      <w:r>
        <w:t xml:space="preserve">This volume will formally define every CSI stage including:</w:t>
      </w:r>
    </w:p>
    <w:p>
      <w:pPr>
        <w:pStyle w:val="Compact"/>
        <w:numPr>
          <w:ilvl w:val="0"/>
          <w:numId w:val="1015"/>
        </w:numPr>
      </w:pPr>
      <w:r>
        <w:t xml:space="preserve">Purpose</w:t>
      </w:r>
    </w:p>
    <w:p>
      <w:pPr>
        <w:pStyle w:val="Compact"/>
        <w:numPr>
          <w:ilvl w:val="0"/>
          <w:numId w:val="1015"/>
        </w:numPr>
      </w:pPr>
      <w:r>
        <w:t xml:space="preserve">Inputs</w:t>
      </w:r>
    </w:p>
    <w:p>
      <w:pPr>
        <w:pStyle w:val="Compact"/>
        <w:numPr>
          <w:ilvl w:val="0"/>
          <w:numId w:val="1015"/>
        </w:numPr>
      </w:pPr>
      <w:r>
        <w:t xml:space="preserve">Outputs</w:t>
      </w:r>
    </w:p>
    <w:p>
      <w:pPr>
        <w:pStyle w:val="Compact"/>
        <w:numPr>
          <w:ilvl w:val="0"/>
          <w:numId w:val="1015"/>
        </w:numPr>
      </w:pPr>
      <w:r>
        <w:t xml:space="preserve">Internal Components</w:t>
      </w:r>
    </w:p>
    <w:p>
      <w:pPr>
        <w:pStyle w:val="Compact"/>
        <w:numPr>
          <w:ilvl w:val="0"/>
          <w:numId w:val="1015"/>
        </w:numPr>
      </w:pPr>
      <w:r>
        <w:t xml:space="preserve">Dependencies</w:t>
      </w:r>
    </w:p>
    <w:p>
      <w:pPr>
        <w:pStyle w:val="Compact"/>
        <w:numPr>
          <w:ilvl w:val="0"/>
          <w:numId w:val="1015"/>
        </w:numPr>
      </w:pPr>
      <w:r>
        <w:t xml:space="preserve">KPIs</w:t>
      </w:r>
    </w:p>
    <w:p>
      <w:pPr>
        <w:pStyle w:val="Compact"/>
        <w:numPr>
          <w:ilvl w:val="0"/>
          <w:numId w:val="1015"/>
        </w:numPr>
      </w:pPr>
      <w:r>
        <w:t xml:space="preserve">Validation Criteria</w:t>
      </w:r>
    </w:p>
    <w:p>
      <w:pPr>
        <w:pStyle w:val="Compact"/>
        <w:numPr>
          <w:ilvl w:val="0"/>
          <w:numId w:val="1015"/>
        </w:numPr>
      </w:pPr>
      <w:r>
        <w:t xml:space="preserve">Audit Requirements</w:t>
      </w:r>
    </w:p>
    <w:p>
      <w:pPr>
        <w:pStyle w:val="Compact"/>
        <w:numPr>
          <w:ilvl w:val="0"/>
          <w:numId w:val="1015"/>
        </w:numPr>
      </w:pPr>
      <w:r>
        <w:t xml:space="preserve">Certification Requirements</w:t>
      </w:r>
    </w:p>
    <w:p>
      <w:pPr>
        <w:pStyle w:val="FirstParagraph"/>
      </w:pPr>
      <w:r>
        <w:t xml:space="preserve">and will serve as the official execution blueprint for all CSI operational stages.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2026-06-10T09:26:29Z</dcterms:created>
  <dcterms:modified xsi:type="dcterms:W3CDTF">2026-06-10T09:26:29Z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