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v-mandatory-stage-audit-protocol"/>
    <w:p>
      <w:pPr>
        <w:pStyle w:val="Heading3"/>
      </w:pPr>
      <w:r>
        <w:t xml:space="preserve">Volume IV – Mandatory Stage Audit Protocol</w:t>
      </w:r>
    </w:p>
    <w:bookmarkEnd w:id="20"/>
    <w:bookmarkStart w:id="21" w:name="part-3"/>
    <w:p>
      <w:pPr>
        <w:pStyle w:val="Heading3"/>
      </w:pPr>
      <w:r>
        <w:t xml:space="preserve">Part 3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Audit Office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9"/>
    <w:p>
      <w:pPr>
        <w:pStyle w:val="Heading1"/>
      </w:pPr>
      <w:r>
        <w:t xml:space="preserve">CHAPTER 19</w:t>
      </w:r>
    </w:p>
    <w:bookmarkEnd w:id="24"/>
    <w:bookmarkStart w:id="29" w:name="audit-findings-framework"/>
    <w:p>
      <w:pPr>
        <w:pStyle w:val="Heading1"/>
      </w:pPr>
      <w:r>
        <w:t xml:space="preserve">AUDIT FINDINGS FRAMEWORK</w:t>
      </w:r>
    </w:p>
    <w:bookmarkStart w:id="25" w:name="purpose"/>
    <w:p>
      <w:pPr>
        <w:pStyle w:val="Heading2"/>
      </w:pPr>
      <w:r>
        <w:t xml:space="preserve">19.1 Purpose</w:t>
      </w:r>
    </w:p>
    <w:p>
      <w:pPr>
        <w:pStyle w:val="FirstParagraph"/>
      </w:pPr>
      <w:r>
        <w:t xml:space="preserve">Audit Findings formally document observed conditions.</w:t>
      </w:r>
    </w:p>
    <w:p>
      <w:r>
        <w:pict>
          <v:rect style="width:0;height:1.5pt" o:hralign="center" o:hrstd="t" o:hr="t"/>
        </w:pict>
      </w:r>
    </w:p>
    <w:bookmarkEnd w:id="25"/>
    <w:bookmarkStart w:id="26" w:name="finding-objectives"/>
    <w:p>
      <w:pPr>
        <w:pStyle w:val="Heading2"/>
      </w:pPr>
      <w:r>
        <w:t xml:space="preserve">19.2 Finding Objectives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1"/>
        </w:numPr>
      </w:pPr>
      <w:r>
        <w:t xml:space="preserve">Clarity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Actionability</w:t>
      </w:r>
    </w:p>
    <w:p>
      <w:r>
        <w:pict>
          <v:rect style="width:0;height:1.5pt" o:hralign="center" o:hrstd="t" o:hr="t"/>
        </w:pict>
      </w:r>
    </w:p>
    <w:bookmarkEnd w:id="26"/>
    <w:bookmarkStart w:id="27" w:name="finding-structure"/>
    <w:p>
      <w:pPr>
        <w:pStyle w:val="Heading2"/>
      </w:pPr>
      <w:r>
        <w:t xml:space="preserve">19.3 Finding Structure</w:t>
      </w:r>
    </w:p>
    <w:p>
      <w:pPr>
        <w:pStyle w:val="FirstParagraph"/>
      </w:pPr>
      <w:r>
        <w:t xml:space="preserve">Every finding shall contain:</w:t>
      </w:r>
    </w:p>
    <w:p>
      <w:pPr>
        <w:pStyle w:val="Compact"/>
        <w:numPr>
          <w:ilvl w:val="0"/>
          <w:numId w:val="1002"/>
        </w:numPr>
      </w:pPr>
      <w:r>
        <w:t xml:space="preserve">Finding ID</w:t>
      </w:r>
    </w:p>
    <w:p>
      <w:pPr>
        <w:pStyle w:val="Compact"/>
        <w:numPr>
          <w:ilvl w:val="0"/>
          <w:numId w:val="1002"/>
        </w:numPr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Evidence References</w:t>
      </w:r>
    </w:p>
    <w:p>
      <w:pPr>
        <w:pStyle w:val="Compact"/>
        <w:numPr>
          <w:ilvl w:val="0"/>
          <w:numId w:val="1002"/>
        </w:numPr>
      </w:pPr>
      <w:r>
        <w:t xml:space="preserve">Impact Assessment</w:t>
      </w:r>
    </w:p>
    <w:p>
      <w:pPr>
        <w:pStyle w:val="Compact"/>
        <w:numPr>
          <w:ilvl w:val="0"/>
          <w:numId w:val="1002"/>
        </w:numPr>
      </w:pPr>
      <w:r>
        <w:t xml:space="preserve">Severity Level</w:t>
      </w:r>
    </w:p>
    <w:p>
      <w:pPr>
        <w:pStyle w:val="Compact"/>
        <w:numPr>
          <w:ilvl w:val="0"/>
          <w:numId w:val="1002"/>
        </w:numPr>
      </w:pPr>
      <w:r>
        <w:t xml:space="preserve">Recommendation</w:t>
      </w:r>
    </w:p>
    <w:p>
      <w:r>
        <w:pict>
          <v:rect style="width:0;height:1.5pt" o:hralign="center" o:hrstd="t" o:hr="t"/>
        </w:pict>
      </w:r>
    </w:p>
    <w:bookmarkEnd w:id="27"/>
    <w:bookmarkStart w:id="28" w:name="finding-rule"/>
    <w:p>
      <w:pPr>
        <w:pStyle w:val="Heading2"/>
      </w:pPr>
      <w:r>
        <w:t xml:space="preserve">19.4 Finding Rule</w:t>
      </w:r>
    </w:p>
    <w:p>
      <w:pPr>
        <w:pStyle w:val="FirstParagraph"/>
      </w:pPr>
      <w:r>
        <w:t xml:space="preserve">Findings without evidence are prohibited.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20"/>
    <w:p>
      <w:pPr>
        <w:pStyle w:val="Heading1"/>
      </w:pPr>
      <w:r>
        <w:t xml:space="preserve">CHAPTER 20</w:t>
      </w:r>
    </w:p>
    <w:bookmarkEnd w:id="30"/>
    <w:bookmarkStart w:id="39" w:name="gap-analysis-methodology"/>
    <w:p>
      <w:pPr>
        <w:pStyle w:val="Heading1"/>
      </w:pPr>
      <w:r>
        <w:t xml:space="preserve">GAP ANALYSIS METHODOLOGY</w:t>
      </w:r>
    </w:p>
    <w:bookmarkStart w:id="31" w:name="purpose-1"/>
    <w:p>
      <w:pPr>
        <w:pStyle w:val="Heading2"/>
      </w:pPr>
      <w:r>
        <w:t xml:space="preserve">20.1 Purpose</w:t>
      </w:r>
    </w:p>
    <w:p>
      <w:pPr>
        <w:pStyle w:val="FirstParagraph"/>
      </w:pPr>
      <w:r>
        <w:t xml:space="preserve">Gap Analysis identifies differences between current and desired states.</w:t>
      </w:r>
    </w:p>
    <w:p>
      <w:r>
        <w:pict>
          <v:rect style="width:0;height:1.5pt" o:hralign="center" o:hrstd="t" o:hr="t"/>
        </w:pict>
      </w:r>
    </w:p>
    <w:bookmarkEnd w:id="31"/>
    <w:bookmarkStart w:id="37" w:name="gap-categories"/>
    <w:p>
      <w:pPr>
        <w:pStyle w:val="Heading2"/>
      </w:pPr>
      <w:r>
        <w:t xml:space="preserve">20.2 Gap Categories</w:t>
      </w:r>
    </w:p>
    <w:bookmarkStart w:id="32" w:name="functional-gaps"/>
    <w:p>
      <w:pPr>
        <w:pStyle w:val="Heading3"/>
      </w:pPr>
      <w:r>
        <w:t xml:space="preserve">Functional Gaps</w:t>
      </w:r>
    </w:p>
    <w:p>
      <w:r>
        <w:pict>
          <v:rect style="width:0;height:1.5pt" o:hralign="center" o:hrstd="t" o:hr="t"/>
        </w:pict>
      </w:r>
    </w:p>
    <w:bookmarkEnd w:id="32"/>
    <w:bookmarkStart w:id="33" w:name="quality-gaps"/>
    <w:p>
      <w:pPr>
        <w:pStyle w:val="Heading3"/>
      </w:pPr>
      <w:r>
        <w:t xml:space="preserve">Quality Gaps</w:t>
      </w:r>
    </w:p>
    <w:p>
      <w:r>
        <w:pict>
          <v:rect style="width:0;height:1.5pt" o:hralign="center" o:hrstd="t" o:hr="t"/>
        </w:pict>
      </w:r>
    </w:p>
    <w:bookmarkEnd w:id="33"/>
    <w:bookmarkStart w:id="34" w:name="performance-gaps"/>
    <w:p>
      <w:pPr>
        <w:pStyle w:val="Heading3"/>
      </w:pPr>
      <w:r>
        <w:t xml:space="preserve">Performance Gaps</w:t>
      </w:r>
    </w:p>
    <w:p>
      <w:r>
        <w:pict>
          <v:rect style="width:0;height:1.5pt" o:hralign="center" o:hrstd="t" o:hr="t"/>
        </w:pict>
      </w:r>
    </w:p>
    <w:bookmarkEnd w:id="34"/>
    <w:bookmarkStart w:id="35" w:name="governance-gaps"/>
    <w:p>
      <w:pPr>
        <w:pStyle w:val="Heading3"/>
      </w:pPr>
      <w:r>
        <w:t xml:space="preserve">Governance Gaps</w:t>
      </w:r>
    </w:p>
    <w:p>
      <w:r>
        <w:pict>
          <v:rect style="width:0;height:1.5pt" o:hralign="center" o:hrstd="t" o:hr="t"/>
        </w:pict>
      </w:r>
    </w:p>
    <w:bookmarkEnd w:id="35"/>
    <w:bookmarkStart w:id="36" w:name="commercial-gaps"/>
    <w:p>
      <w:pPr>
        <w:pStyle w:val="Heading3"/>
      </w:pPr>
      <w:r>
        <w:t xml:space="preserve">Commercial Gaps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ap-analysis-lifecycle"/>
    <w:p>
      <w:pPr>
        <w:pStyle w:val="Heading2"/>
      </w:pPr>
      <w:r>
        <w:t xml:space="preserve">20.3 Gap Analysis Lifecycle</w:t>
      </w:r>
    </w:p>
    <w:p>
      <w:pPr>
        <w:pStyle w:val="FirstParagraph"/>
      </w:pPr>
      <w:r>
        <w:t xml:space="preserve">Current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Target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Gap Identification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Impact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Remediation Planning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21"/>
    <w:p>
      <w:pPr>
        <w:pStyle w:val="Heading1"/>
      </w:pPr>
      <w:r>
        <w:t xml:space="preserve">CHAPTER 21</w:t>
      </w:r>
    </w:p>
    <w:bookmarkEnd w:id="40"/>
    <w:bookmarkStart w:id="49" w:name="root-cause-analysis-model"/>
    <w:p>
      <w:pPr>
        <w:pStyle w:val="Heading1"/>
      </w:pPr>
      <w:r>
        <w:t xml:space="preserve">ROOT CAUSE ANALYSIS MODEL</w:t>
      </w:r>
    </w:p>
    <w:bookmarkStart w:id="41" w:name="purpose-2"/>
    <w:p>
      <w:pPr>
        <w:pStyle w:val="Heading2"/>
      </w:pPr>
      <w:r>
        <w:t xml:space="preserve">21.1 Purpose</w:t>
      </w:r>
    </w:p>
    <w:p>
      <w:pPr>
        <w:pStyle w:val="FirstParagraph"/>
      </w:pPr>
      <w:r>
        <w:t xml:space="preserve">Corrective actions shall address root causes.</w:t>
      </w:r>
    </w:p>
    <w:p>
      <w:r>
        <w:pict>
          <v:rect style="width:0;height:1.5pt" o:hralign="center" o:hrstd="t" o:hr="t"/>
        </w:pict>
      </w:r>
    </w:p>
    <w:bookmarkEnd w:id="41"/>
    <w:bookmarkStart w:id="47" w:name="root-cause-categories"/>
    <w:p>
      <w:pPr>
        <w:pStyle w:val="Heading2"/>
      </w:pPr>
      <w:r>
        <w:t xml:space="preserve">21.2 Root Cause Categories</w:t>
      </w:r>
    </w:p>
    <w:bookmarkStart w:id="42" w:name="process-causes"/>
    <w:p>
      <w:pPr>
        <w:pStyle w:val="Heading3"/>
      </w:pPr>
      <w:r>
        <w:t xml:space="preserve">Process Causes</w:t>
      </w:r>
    </w:p>
    <w:p>
      <w:r>
        <w:pict>
          <v:rect style="width:0;height:1.5pt" o:hralign="center" o:hrstd="t" o:hr="t"/>
        </w:pict>
      </w:r>
    </w:p>
    <w:bookmarkEnd w:id="42"/>
    <w:bookmarkStart w:id="43" w:name="technical-causes"/>
    <w:p>
      <w:pPr>
        <w:pStyle w:val="Heading3"/>
      </w:pPr>
      <w:r>
        <w:t xml:space="preserve">Technical Causes</w:t>
      </w:r>
    </w:p>
    <w:p>
      <w:r>
        <w:pict>
          <v:rect style="width:0;height:1.5pt" o:hralign="center" o:hrstd="t" o:hr="t"/>
        </w:pict>
      </w:r>
    </w:p>
    <w:bookmarkEnd w:id="43"/>
    <w:bookmarkStart w:id="44" w:name="governance-causes"/>
    <w:p>
      <w:pPr>
        <w:pStyle w:val="Heading3"/>
      </w:pPr>
      <w:r>
        <w:t xml:space="preserve">Governance Causes</w:t>
      </w:r>
    </w:p>
    <w:p>
      <w:r>
        <w:pict>
          <v:rect style="width:0;height:1.5pt" o:hralign="center" o:hrstd="t" o:hr="t"/>
        </w:pict>
      </w:r>
    </w:p>
    <w:bookmarkEnd w:id="44"/>
    <w:bookmarkStart w:id="45" w:name="operational-causes"/>
    <w:p>
      <w:pPr>
        <w:pStyle w:val="Heading3"/>
      </w:pPr>
      <w:r>
        <w:t xml:space="preserve">Operational Causes</w:t>
      </w:r>
    </w:p>
    <w:p>
      <w:r>
        <w:pict>
          <v:rect style="width:0;height:1.5pt" o:hralign="center" o:hrstd="t" o:hr="t"/>
        </w:pict>
      </w:r>
    </w:p>
    <w:bookmarkEnd w:id="45"/>
    <w:bookmarkStart w:id="46" w:name="human-causes"/>
    <w:p>
      <w:pPr>
        <w:pStyle w:val="Heading3"/>
      </w:pPr>
      <w:r>
        <w:t xml:space="preserve">Human Causes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oot-cause-rule"/>
    <w:p>
      <w:pPr>
        <w:pStyle w:val="Heading2"/>
      </w:pPr>
      <w:r>
        <w:t xml:space="preserve">21.3 Root Cause Rule</w:t>
      </w:r>
    </w:p>
    <w:p>
      <w:pPr>
        <w:pStyle w:val="FirstParagraph"/>
      </w:pPr>
      <w:r>
        <w:t xml:space="preserve">Symptom correction alone is insufficient.</w:t>
      </w:r>
    </w:p>
    <w:p>
      <w:pPr>
        <w:pStyle w:val="BodyText"/>
      </w:pPr>
      <w:r>
        <w:t xml:space="preserve">Root causes must be addressed.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hapter-22"/>
    <w:p>
      <w:pPr>
        <w:pStyle w:val="Heading1"/>
      </w:pPr>
      <w:r>
        <w:t xml:space="preserve">CHAPTER 22</w:t>
      </w:r>
    </w:p>
    <w:bookmarkEnd w:id="50"/>
    <w:bookmarkStart w:id="58" w:name="recommendation-framework"/>
    <w:p>
      <w:pPr>
        <w:pStyle w:val="Heading1"/>
      </w:pPr>
      <w:r>
        <w:t xml:space="preserve">RECOMMENDATION FRAMEWORK</w:t>
      </w:r>
    </w:p>
    <w:bookmarkStart w:id="51" w:name="purpose-3"/>
    <w:p>
      <w:pPr>
        <w:pStyle w:val="Heading2"/>
      </w:pPr>
      <w:r>
        <w:t xml:space="preserve">22.1 Purpose</w:t>
      </w:r>
    </w:p>
    <w:p>
      <w:pPr>
        <w:pStyle w:val="FirstParagraph"/>
      </w:pPr>
      <w:r>
        <w:t xml:space="preserve">Recommendations define improvement actions.</w:t>
      </w:r>
    </w:p>
    <w:p>
      <w:r>
        <w:pict>
          <v:rect style="width:0;height:1.5pt" o:hralign="center" o:hrstd="t" o:hr="t"/>
        </w:pict>
      </w:r>
    </w:p>
    <w:bookmarkEnd w:id="51"/>
    <w:bookmarkStart w:id="52" w:name="recommendation-objectives"/>
    <w:p>
      <w:pPr>
        <w:pStyle w:val="Heading2"/>
      </w:pPr>
      <w:r>
        <w:t xml:space="preserve">22.2 Recommendation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3"/>
        </w:numPr>
      </w:pPr>
      <w:r>
        <w:t xml:space="preserve">Risk Reduction</w:t>
      </w:r>
    </w:p>
    <w:p>
      <w:pPr>
        <w:pStyle w:val="Compact"/>
        <w:numPr>
          <w:ilvl w:val="0"/>
          <w:numId w:val="1003"/>
        </w:numPr>
      </w:pPr>
      <w:r>
        <w:t xml:space="preserve">Quality Improvement</w:t>
      </w:r>
    </w:p>
    <w:p>
      <w:pPr>
        <w:pStyle w:val="Compact"/>
        <w:numPr>
          <w:ilvl w:val="0"/>
          <w:numId w:val="1003"/>
        </w:numPr>
      </w:pPr>
      <w:r>
        <w:t xml:space="preserve">Performance Improvement</w:t>
      </w:r>
    </w:p>
    <w:p>
      <w:pPr>
        <w:pStyle w:val="Compact"/>
        <w:numPr>
          <w:ilvl w:val="0"/>
          <w:numId w:val="1003"/>
        </w:numPr>
      </w:pPr>
      <w:r>
        <w:t xml:space="preserve">Governance Enhancement</w:t>
      </w:r>
    </w:p>
    <w:p>
      <w:r>
        <w:pict>
          <v:rect style="width:0;height:1.5pt" o:hralign="center" o:hrstd="t" o:hr="t"/>
        </w:pict>
      </w:r>
    </w:p>
    <w:bookmarkEnd w:id="52"/>
    <w:bookmarkStart w:id="57" w:name="recommendation-categories"/>
    <w:p>
      <w:pPr>
        <w:pStyle w:val="Heading2"/>
      </w:pPr>
      <w:r>
        <w:t xml:space="preserve">22.3 Recommendation Categories</w:t>
      </w:r>
    </w:p>
    <w:bookmarkStart w:id="53" w:name="mandatory"/>
    <w:p>
      <w:pPr>
        <w:pStyle w:val="Heading3"/>
      </w:pPr>
      <w:r>
        <w:t xml:space="preserve">Mandatory</w:t>
      </w:r>
    </w:p>
    <w:p>
      <w:pPr>
        <w:pStyle w:val="FirstParagraph"/>
      </w:pPr>
      <w:r>
        <w:t xml:space="preserve">Required for approval.</w:t>
      </w:r>
    </w:p>
    <w:p>
      <w:r>
        <w:pict>
          <v:rect style="width:0;height:1.5pt" o:hralign="center" o:hrstd="t" o:hr="t"/>
        </w:pict>
      </w:r>
    </w:p>
    <w:bookmarkEnd w:id="53"/>
    <w:bookmarkStart w:id="54" w:name="high-priority"/>
    <w:p>
      <w:pPr>
        <w:pStyle w:val="Heading3"/>
      </w:pPr>
      <w:r>
        <w:t xml:space="preserve">High Priority</w:t>
      </w:r>
    </w:p>
    <w:p>
      <w:pPr>
        <w:pStyle w:val="FirstParagraph"/>
      </w:pPr>
      <w:r>
        <w:t xml:space="preserve">Strongly recommended.</w:t>
      </w:r>
    </w:p>
    <w:p>
      <w:r>
        <w:pict>
          <v:rect style="width:0;height:1.5pt" o:hralign="center" o:hrstd="t" o:hr="t"/>
        </w:pict>
      </w:r>
    </w:p>
    <w:bookmarkEnd w:id="54"/>
    <w:bookmarkStart w:id="55" w:name="medium-priority"/>
    <w:p>
      <w:pPr>
        <w:pStyle w:val="Heading3"/>
      </w:pPr>
      <w:r>
        <w:t xml:space="preserve">Medium Priority</w:t>
      </w:r>
    </w:p>
    <w:p>
      <w:pPr>
        <w:pStyle w:val="FirstParagraph"/>
      </w:pPr>
      <w:r>
        <w:t xml:space="preserve">Recommended.</w:t>
      </w:r>
    </w:p>
    <w:p>
      <w:r>
        <w:pict>
          <v:rect style="width:0;height:1.5pt" o:hralign="center" o:hrstd="t" o:hr="t"/>
        </w:pict>
      </w:r>
    </w:p>
    <w:bookmarkEnd w:id="55"/>
    <w:bookmarkStart w:id="56" w:name="low-priority"/>
    <w:p>
      <w:pPr>
        <w:pStyle w:val="Heading3"/>
      </w:pPr>
      <w:r>
        <w:t xml:space="preserve">Low Priority</w:t>
      </w:r>
    </w:p>
    <w:p>
      <w:pPr>
        <w:pStyle w:val="FirstParagraph"/>
      </w:pPr>
      <w:r>
        <w:t xml:space="preserve">Optional improvement.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chapter-23"/>
    <w:p>
      <w:pPr>
        <w:pStyle w:val="Heading1"/>
      </w:pPr>
      <w:r>
        <w:t xml:space="preserve">CHAPTER 23</w:t>
      </w:r>
    </w:p>
    <w:bookmarkEnd w:id="59"/>
    <w:bookmarkStart w:id="63" w:name="remediation-framework"/>
    <w:p>
      <w:pPr>
        <w:pStyle w:val="Heading1"/>
      </w:pPr>
      <w:r>
        <w:t xml:space="preserve">REMEDIATION FRAMEWORK</w:t>
      </w:r>
    </w:p>
    <w:bookmarkStart w:id="60" w:name="purpose-4"/>
    <w:p>
      <w:pPr>
        <w:pStyle w:val="Heading2"/>
      </w:pPr>
      <w:r>
        <w:t xml:space="preserve">23.1 Purpose</w:t>
      </w:r>
    </w:p>
    <w:p>
      <w:pPr>
        <w:pStyle w:val="FirstParagraph"/>
      </w:pPr>
      <w:r>
        <w:t xml:space="preserve">Remediation eliminates identified deficiencies.</w:t>
      </w:r>
    </w:p>
    <w:p>
      <w:r>
        <w:pict>
          <v:rect style="width:0;height:1.5pt" o:hralign="center" o:hrstd="t" o:hr="t"/>
        </w:pict>
      </w:r>
    </w:p>
    <w:bookmarkEnd w:id="60"/>
    <w:bookmarkStart w:id="61" w:name="remediation-lifecycle"/>
    <w:p>
      <w:pPr>
        <w:pStyle w:val="Heading2"/>
      </w:pPr>
      <w:r>
        <w:t xml:space="preserve">23.2 Remediation Lifecycle</w:t>
      </w:r>
    </w:p>
    <w:p>
      <w:pPr>
        <w:pStyle w:val="FirstParagraph"/>
      </w:pPr>
      <w:r>
        <w:t xml:space="preserve">Issue Identification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Remediation 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Closure</w:t>
      </w:r>
    </w:p>
    <w:p>
      <w:r>
        <w:pict>
          <v:rect style="width:0;height:1.5pt" o:hralign="center" o:hrstd="t" o:hr="t"/>
        </w:pict>
      </w:r>
    </w:p>
    <w:bookmarkEnd w:id="61"/>
    <w:bookmarkStart w:id="62" w:name="remediation-rule"/>
    <w:p>
      <w:pPr>
        <w:pStyle w:val="Heading2"/>
      </w:pPr>
      <w:r>
        <w:t xml:space="preserve">23.3 Remediation Rule</w:t>
      </w:r>
    </w:p>
    <w:p>
      <w:pPr>
        <w:pStyle w:val="FirstParagraph"/>
      </w:pPr>
      <w:r>
        <w:t xml:space="preserve">Unverified remediation actions shall not be accepted.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hapter-24"/>
    <w:p>
      <w:pPr>
        <w:pStyle w:val="Heading1"/>
      </w:pPr>
      <w:r>
        <w:t xml:space="preserve">CHAPTER 24</w:t>
      </w:r>
    </w:p>
    <w:bookmarkEnd w:id="64"/>
    <w:bookmarkStart w:id="68" w:name="corrective-action-lifecycle"/>
    <w:p>
      <w:pPr>
        <w:pStyle w:val="Heading1"/>
      </w:pPr>
      <w:r>
        <w:t xml:space="preserve">CORRECTIVE ACTION LIFECYCLE</w:t>
      </w:r>
    </w:p>
    <w:bookmarkStart w:id="65" w:name="purpose-5"/>
    <w:p>
      <w:pPr>
        <w:pStyle w:val="Heading2"/>
      </w:pPr>
      <w:r>
        <w:t xml:space="preserve">24.1 Purpose</w:t>
      </w:r>
    </w:p>
    <w:p>
      <w:pPr>
        <w:pStyle w:val="FirstParagraph"/>
      </w:pPr>
      <w:r>
        <w:t xml:space="preserve">Corrective Actions restore compliance and quality.</w:t>
      </w:r>
    </w:p>
    <w:p>
      <w:r>
        <w:pict>
          <v:rect style="width:0;height:1.5pt" o:hralign="center" o:hrstd="t" o:hr="t"/>
        </w:pict>
      </w:r>
    </w:p>
    <w:bookmarkEnd w:id="65"/>
    <w:bookmarkStart w:id="66" w:name="lifecycle"/>
    <w:p>
      <w:pPr>
        <w:pStyle w:val="Heading2"/>
      </w:pPr>
      <w:r>
        <w:t xml:space="preserve">24.2 Lifecycle</w:t>
      </w:r>
    </w:p>
    <w:p>
      <w:pPr>
        <w:pStyle w:val="FirstParagraph"/>
      </w:pPr>
      <w:r>
        <w:t xml:space="preserve">Finding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Root Cause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Corrective 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66"/>
    <w:bookmarkStart w:id="67" w:name="governance-rule"/>
    <w:p>
      <w:pPr>
        <w:pStyle w:val="Heading2"/>
      </w:pPr>
      <w:r>
        <w:t xml:space="preserve">24.3 Governance Rule</w:t>
      </w:r>
    </w:p>
    <w:p>
      <w:pPr>
        <w:pStyle w:val="FirstParagraph"/>
      </w:pPr>
      <w:r>
        <w:t xml:space="preserve">Corrective actions require evidence-based closure.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hapter-25"/>
    <w:p>
      <w:pPr>
        <w:pStyle w:val="Heading1"/>
      </w:pPr>
      <w:r>
        <w:t xml:space="preserve">CHAPTER 25</w:t>
      </w:r>
    </w:p>
    <w:bookmarkEnd w:id="69"/>
    <w:bookmarkStart w:id="82" w:name="audit-escalation-model"/>
    <w:p>
      <w:pPr>
        <w:pStyle w:val="Heading1"/>
      </w:pPr>
      <w:r>
        <w:t xml:space="preserve">AUDIT ESCALATION MODEL</w:t>
      </w:r>
    </w:p>
    <w:bookmarkStart w:id="70" w:name="purpose-6"/>
    <w:p>
      <w:pPr>
        <w:pStyle w:val="Heading2"/>
      </w:pPr>
      <w:r>
        <w:t xml:space="preserve">25.1 Purpose</w:t>
      </w:r>
    </w:p>
    <w:p>
      <w:pPr>
        <w:pStyle w:val="FirstParagraph"/>
      </w:pPr>
      <w:r>
        <w:t xml:space="preserve">Critical issues shall be escalated appropriately.</w:t>
      </w:r>
    </w:p>
    <w:p>
      <w:r>
        <w:pict>
          <v:rect style="width:0;height:1.5pt" o:hralign="center" o:hrstd="t" o:hr="t"/>
        </w:pict>
      </w:r>
    </w:p>
    <w:bookmarkEnd w:id="70"/>
    <w:bookmarkStart w:id="76" w:name="escalation-triggers"/>
    <w:p>
      <w:pPr>
        <w:pStyle w:val="Heading2"/>
      </w:pPr>
      <w:r>
        <w:t xml:space="preserve">25.2 Escalation Triggers</w:t>
      </w:r>
    </w:p>
    <w:bookmarkStart w:id="71" w:name="critical-compliance-failure"/>
    <w:p>
      <w:pPr>
        <w:pStyle w:val="Heading3"/>
      </w:pPr>
      <w:r>
        <w:t xml:space="preserve">Critical Compliance Failure</w:t>
      </w:r>
    </w:p>
    <w:p>
      <w:r>
        <w:pict>
          <v:rect style="width:0;height:1.5pt" o:hralign="center" o:hrstd="t" o:hr="t"/>
        </w:pict>
      </w:r>
    </w:p>
    <w:bookmarkEnd w:id="71"/>
    <w:bookmarkStart w:id="72" w:name="critical-security-concern"/>
    <w:p>
      <w:pPr>
        <w:pStyle w:val="Heading3"/>
      </w:pPr>
      <w:r>
        <w:t xml:space="preserve">Critical Security Concern</w:t>
      </w:r>
    </w:p>
    <w:p>
      <w:r>
        <w:pict>
          <v:rect style="width:0;height:1.5pt" o:hralign="center" o:hrstd="t" o:hr="t"/>
        </w:pict>
      </w:r>
    </w:p>
    <w:bookmarkEnd w:id="72"/>
    <w:bookmarkStart w:id="73" w:name="severe-quality-failure"/>
    <w:p>
      <w:pPr>
        <w:pStyle w:val="Heading3"/>
      </w:pPr>
      <w:r>
        <w:t xml:space="preserve">Severe Quality Failure</w:t>
      </w:r>
    </w:p>
    <w:p>
      <w:r>
        <w:pict>
          <v:rect style="width:0;height:1.5pt" o:hralign="center" o:hrstd="t" o:hr="t"/>
        </w:pict>
      </w:r>
    </w:p>
    <w:bookmarkEnd w:id="73"/>
    <w:bookmarkStart w:id="74" w:name="major-operational-risk"/>
    <w:p>
      <w:pPr>
        <w:pStyle w:val="Heading3"/>
      </w:pPr>
      <w:r>
        <w:t xml:space="preserve">Major Operational Risk</w:t>
      </w:r>
    </w:p>
    <w:p>
      <w:r>
        <w:pict>
          <v:rect style="width:0;height:1.5pt" o:hralign="center" o:hrstd="t" o:hr="t"/>
        </w:pict>
      </w:r>
    </w:p>
    <w:bookmarkEnd w:id="74"/>
    <w:bookmarkStart w:id="75" w:name="certification-blocker"/>
    <w:p>
      <w:pPr>
        <w:pStyle w:val="Heading3"/>
      </w:pPr>
      <w:r>
        <w:t xml:space="preserve">Certification Blocker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escalation-levels"/>
    <w:p>
      <w:pPr>
        <w:pStyle w:val="Heading2"/>
      </w:pPr>
      <w:r>
        <w:t xml:space="preserve">25.3 Escalation Levels</w:t>
      </w:r>
    </w:p>
    <w:bookmarkStart w:id="77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Audit Team Review</w:t>
      </w:r>
    </w:p>
    <w:p>
      <w:r>
        <w:pict>
          <v:rect style="width:0;height:1.5pt" o:hralign="center" o:hrstd="t" o:hr="t"/>
        </w:pict>
      </w:r>
    </w:p>
    <w:bookmarkEnd w:id="77"/>
    <w:bookmarkStart w:id="78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Governance Authority Review</w:t>
      </w:r>
    </w:p>
    <w:p>
      <w:r>
        <w:pict>
          <v:rect style="width:0;height:1.5pt" o:hralign="center" o:hrstd="t" o:hr="t"/>
        </w:pict>
      </w:r>
    </w:p>
    <w:bookmarkEnd w:id="78"/>
    <w:bookmarkStart w:id="79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Executive Review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escalation-rule"/>
    <w:p>
      <w:pPr>
        <w:pStyle w:val="Heading2"/>
      </w:pPr>
      <w:r>
        <w:t xml:space="preserve">25.4 Escalation Rule</w:t>
      </w:r>
    </w:p>
    <w:p>
      <w:pPr>
        <w:pStyle w:val="FirstParagraph"/>
      </w:pPr>
      <w:r>
        <w:t xml:space="preserve">Critical unresolved findings shall be escalated.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hapter-26"/>
    <w:p>
      <w:pPr>
        <w:pStyle w:val="Heading1"/>
      </w:pPr>
      <w:r>
        <w:t xml:space="preserve">CHAPTER 26</w:t>
      </w:r>
    </w:p>
    <w:bookmarkEnd w:id="83"/>
    <w:bookmarkStart w:id="92" w:name="finding-severity-model"/>
    <w:p>
      <w:pPr>
        <w:pStyle w:val="Heading1"/>
      </w:pPr>
      <w:r>
        <w:t xml:space="preserve">FINDING SEVERITY MODEL</w:t>
      </w:r>
    </w:p>
    <w:bookmarkStart w:id="84" w:name="purpose-7"/>
    <w:p>
      <w:pPr>
        <w:pStyle w:val="Heading2"/>
      </w:pPr>
      <w:r>
        <w:t xml:space="preserve">26.1 Purpose</w:t>
      </w:r>
    </w:p>
    <w:p>
      <w:pPr>
        <w:pStyle w:val="FirstParagraph"/>
      </w:pPr>
      <w:r>
        <w:t xml:space="preserve">Severity levels determine remediation urgency.</w:t>
      </w:r>
    </w:p>
    <w:p>
      <w:r>
        <w:pict>
          <v:rect style="width:0;height:1.5pt" o:hralign="center" o:hrstd="t" o:hr="t"/>
        </w:pict>
      </w:r>
    </w:p>
    <w:bookmarkEnd w:id="84"/>
    <w:bookmarkStart w:id="90" w:name="severity-levels"/>
    <w:p>
      <w:pPr>
        <w:pStyle w:val="Heading2"/>
      </w:pPr>
      <w:r>
        <w:t xml:space="preserve">26.2 Severity Levels</w:t>
      </w:r>
    </w:p>
    <w:bookmarkStart w:id="85" w:name="informational"/>
    <w:p>
      <w:pPr>
        <w:pStyle w:val="Heading3"/>
      </w:pPr>
      <w:r>
        <w:t xml:space="preserve">Informational</w:t>
      </w:r>
    </w:p>
    <w:p>
      <w:pPr>
        <w:pStyle w:val="FirstParagraph"/>
      </w:pPr>
      <w:r>
        <w:t xml:space="preserve">No action required.</w:t>
      </w:r>
    </w:p>
    <w:p>
      <w:r>
        <w:pict>
          <v:rect style="width:0;height:1.5pt" o:hralign="center" o:hrstd="t" o:hr="t"/>
        </w:pict>
      </w:r>
    </w:p>
    <w:bookmarkEnd w:id="85"/>
    <w:bookmarkStart w:id="86" w:name="minor"/>
    <w:p>
      <w:pPr>
        <w:pStyle w:val="Heading3"/>
      </w:pPr>
      <w:r>
        <w:t xml:space="preserve">Minor</w:t>
      </w:r>
    </w:p>
    <w:p>
      <w:pPr>
        <w:pStyle w:val="FirstParagraph"/>
      </w:pPr>
      <w:r>
        <w:t xml:space="preserve">Improvement recommended.</w:t>
      </w:r>
    </w:p>
    <w:p>
      <w:r>
        <w:pict>
          <v:rect style="width:0;height:1.5pt" o:hralign="center" o:hrstd="t" o:hr="t"/>
        </w:pict>
      </w:r>
    </w:p>
    <w:bookmarkEnd w:id="86"/>
    <w:bookmarkStart w:id="87" w:name="moderate"/>
    <w:p>
      <w:pPr>
        <w:pStyle w:val="Heading3"/>
      </w:pPr>
      <w:r>
        <w:t xml:space="preserve">Moderate</w:t>
      </w:r>
    </w:p>
    <w:p>
      <w:pPr>
        <w:pStyle w:val="FirstParagraph"/>
      </w:pPr>
      <w:r>
        <w:t xml:space="preserve">Remediation required.</w:t>
      </w:r>
    </w:p>
    <w:p>
      <w:r>
        <w:pict>
          <v:rect style="width:0;height:1.5pt" o:hralign="center" o:hrstd="t" o:hr="t"/>
        </w:pict>
      </w:r>
    </w:p>
    <w:bookmarkEnd w:id="87"/>
    <w:bookmarkStart w:id="88" w:name="major"/>
    <w:p>
      <w:pPr>
        <w:pStyle w:val="Heading3"/>
      </w:pPr>
      <w:r>
        <w:t xml:space="preserve">Major</w:t>
      </w:r>
    </w:p>
    <w:p>
      <w:pPr>
        <w:pStyle w:val="FirstParagraph"/>
      </w:pPr>
      <w:r>
        <w:t xml:space="preserve">Immediate remediation required.</w:t>
      </w:r>
    </w:p>
    <w:p>
      <w:r>
        <w:pict>
          <v:rect style="width:0;height:1.5pt" o:hralign="center" o:hrstd="t" o:hr="t"/>
        </w:pict>
      </w:r>
    </w:p>
    <w:bookmarkEnd w:id="88"/>
    <w:bookmarkStart w:id="89" w:name="critical"/>
    <w:p>
      <w:pPr>
        <w:pStyle w:val="Heading3"/>
      </w:pPr>
      <w:r>
        <w:t xml:space="preserve">Critical</w:t>
      </w:r>
    </w:p>
    <w:p>
      <w:pPr>
        <w:pStyle w:val="FirstParagraph"/>
      </w:pPr>
      <w:r>
        <w:t xml:space="preserve">Certification prohibited until resolved.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ertification-rule"/>
    <w:p>
      <w:pPr>
        <w:pStyle w:val="Heading2"/>
      </w:pPr>
      <w:r>
        <w:t xml:space="preserve">26.3 Certification Rule</w:t>
      </w:r>
    </w:p>
    <w:p>
      <w:pPr>
        <w:pStyle w:val="FirstParagraph"/>
      </w:pPr>
      <w:r>
        <w:t xml:space="preserve">Critical findings automatically block certification.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part-3-completion-statement"/>
    <w:p>
      <w:pPr>
        <w:pStyle w:val="Heading1"/>
      </w:pPr>
      <w:r>
        <w:t xml:space="preserve">PART 3 COMPLETION STATEMENT</w:t>
      </w:r>
    </w:p>
    <w:p>
      <w:pPr>
        <w:pStyle w:val="FirstParagraph"/>
      </w:pPr>
      <w:r>
        <w:t xml:space="preserve">Volume IV – Part 3 establishes:</w:t>
      </w:r>
    </w:p>
    <w:p>
      <w:pPr>
        <w:pStyle w:val="Compact"/>
        <w:numPr>
          <w:ilvl w:val="0"/>
          <w:numId w:val="1004"/>
        </w:numPr>
      </w:pPr>
      <w:r>
        <w:t xml:space="preserve">Audit Findings Framework</w:t>
      </w:r>
    </w:p>
    <w:p>
      <w:pPr>
        <w:pStyle w:val="Compact"/>
        <w:numPr>
          <w:ilvl w:val="0"/>
          <w:numId w:val="1004"/>
        </w:numPr>
      </w:pPr>
      <w:r>
        <w:t xml:space="preserve">Gap Analysis Methodology</w:t>
      </w:r>
    </w:p>
    <w:p>
      <w:pPr>
        <w:pStyle w:val="Compact"/>
        <w:numPr>
          <w:ilvl w:val="0"/>
          <w:numId w:val="1004"/>
        </w:numPr>
      </w:pPr>
      <w:r>
        <w:t xml:space="preserve">Root Cause Analysis Model</w:t>
      </w:r>
    </w:p>
    <w:p>
      <w:pPr>
        <w:pStyle w:val="Compact"/>
        <w:numPr>
          <w:ilvl w:val="0"/>
          <w:numId w:val="1004"/>
        </w:numPr>
      </w:pPr>
      <w:r>
        <w:t xml:space="preserve">Recommendation Framework</w:t>
      </w:r>
    </w:p>
    <w:p>
      <w:pPr>
        <w:pStyle w:val="Compact"/>
        <w:numPr>
          <w:ilvl w:val="0"/>
          <w:numId w:val="1004"/>
        </w:numPr>
      </w:pPr>
      <w:r>
        <w:t xml:space="preserve">Remediation Framework</w:t>
      </w:r>
    </w:p>
    <w:p>
      <w:pPr>
        <w:pStyle w:val="Compact"/>
        <w:numPr>
          <w:ilvl w:val="0"/>
          <w:numId w:val="1004"/>
        </w:numPr>
      </w:pPr>
      <w:r>
        <w:t xml:space="preserve">Corrective Action Lifecycle</w:t>
      </w:r>
    </w:p>
    <w:p>
      <w:pPr>
        <w:pStyle w:val="Compact"/>
        <w:numPr>
          <w:ilvl w:val="0"/>
          <w:numId w:val="1004"/>
        </w:numPr>
      </w:pPr>
      <w:r>
        <w:t xml:space="preserve">Audit Escalation Model</w:t>
      </w:r>
    </w:p>
    <w:p>
      <w:pPr>
        <w:pStyle w:val="Compact"/>
        <w:numPr>
          <w:ilvl w:val="0"/>
          <w:numId w:val="1004"/>
        </w:numPr>
      </w:pPr>
      <w:r>
        <w:t xml:space="preserve">Finding Severity Model</w:t>
      </w:r>
    </w:p>
    <w:p>
      <w:pPr>
        <w:pStyle w:val="FirstParagraph"/>
      </w:pPr>
      <w:r>
        <w:t xml:space="preserve">These structures define how deficiencies are identified, analyzed, corrected, and governed within the CSI audit process.</w:t>
      </w:r>
    </w:p>
    <w:p>
      <w:r>
        <w:pict>
          <v:rect style="width:0;height:1.5pt" o:hralign="center" o:hrstd="t" o:hr="t"/>
        </w:pict>
      </w:r>
    </w:p>
    <w:bookmarkEnd w:id="93"/>
    <w:bookmarkStart w:id="94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IV – Part 4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05"/>
        </w:numPr>
      </w:pPr>
      <w:r>
        <w:t xml:space="preserve">Audit Scoring Framework</w:t>
      </w:r>
    </w:p>
    <w:p>
      <w:pPr>
        <w:pStyle w:val="Compact"/>
        <w:numPr>
          <w:ilvl w:val="0"/>
          <w:numId w:val="1005"/>
        </w:numPr>
      </w:pPr>
      <w:r>
        <w:t xml:space="preserve">Audit Maturity Assessment</w:t>
      </w:r>
    </w:p>
    <w:p>
      <w:pPr>
        <w:pStyle w:val="Compact"/>
        <w:numPr>
          <w:ilvl w:val="0"/>
          <w:numId w:val="1005"/>
        </w:numPr>
      </w:pPr>
      <w:r>
        <w:t xml:space="preserve">Audit Approval Matrix</w:t>
      </w:r>
    </w:p>
    <w:p>
      <w:pPr>
        <w:pStyle w:val="Compact"/>
        <w:numPr>
          <w:ilvl w:val="0"/>
          <w:numId w:val="1005"/>
        </w:numPr>
      </w:pPr>
      <w:r>
        <w:t xml:space="preserve">Audit Decision Authority</w:t>
      </w:r>
    </w:p>
    <w:p>
      <w:pPr>
        <w:pStyle w:val="Compact"/>
        <w:numPr>
          <w:ilvl w:val="0"/>
          <w:numId w:val="1005"/>
        </w:numPr>
      </w:pPr>
      <w:r>
        <w:t xml:space="preserve">Audit Closure Procedures</w:t>
      </w:r>
    </w:p>
    <w:p>
      <w:pPr>
        <w:pStyle w:val="Compact"/>
        <w:numPr>
          <w:ilvl w:val="0"/>
          <w:numId w:val="1005"/>
        </w:numPr>
      </w:pPr>
      <w:r>
        <w:t xml:space="preserve">Audit Review Board Model</w:t>
      </w:r>
    </w:p>
    <w:p>
      <w:pPr>
        <w:pStyle w:val="Compact"/>
        <w:numPr>
          <w:ilvl w:val="0"/>
          <w:numId w:val="1005"/>
        </w:numPr>
      </w:pPr>
      <w:r>
        <w:t xml:space="preserve">Enterprise Audit Readiness Model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2026-06-10T09:41:16Z</dcterms:created>
  <dcterms:modified xsi:type="dcterms:W3CDTF">2026-06-10T09:41:16Z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