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v-mandatory-stage-audit-protocol"/>
    <w:p>
      <w:pPr>
        <w:pStyle w:val="Heading3"/>
      </w:pPr>
      <w:r>
        <w:t xml:space="preserve">Volume IV – Mandatory Stage Audit Protocol</w:t>
      </w:r>
    </w:p>
    <w:bookmarkEnd w:id="20"/>
    <w:bookmarkStart w:id="21" w:name="part-6"/>
    <w:p>
      <w:pPr>
        <w:pStyle w:val="Heading3"/>
      </w:pPr>
      <w:r>
        <w:t xml:space="preserve">Part 6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Audit Office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40"/>
    <w:p>
      <w:pPr>
        <w:pStyle w:val="Heading1"/>
      </w:pPr>
      <w:r>
        <w:t xml:space="preserve">CHAPTER 40</w:t>
      </w:r>
    </w:p>
    <w:bookmarkEnd w:id="24"/>
    <w:bookmarkStart w:id="32" w:name="enterprise-audit-compliance-model"/>
    <w:p>
      <w:pPr>
        <w:pStyle w:val="Heading1"/>
      </w:pPr>
      <w:r>
        <w:t xml:space="preserve">ENTERPRISE AUDIT COMPLIANCE MODEL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audit compliance across CSI.</w:t>
      </w:r>
    </w:p>
    <w:p>
      <w:r>
        <w:pict>
          <v:rect style="width:0;height:1.5pt" o:hralign="center" o:hrstd="t" o:hr="t"/>
        </w:pict>
      </w:r>
    </w:p>
    <w:bookmarkEnd w:id="25"/>
    <w:bookmarkStart w:id="31" w:name="compliance-domains"/>
    <w:p>
      <w:pPr>
        <w:pStyle w:val="Heading2"/>
      </w:pPr>
      <w:r>
        <w:t xml:space="preserve">Compliance Domains</w:t>
      </w:r>
    </w:p>
    <w:bookmarkStart w:id="26" w:name="process-compliance"/>
    <w:p>
      <w:pPr>
        <w:pStyle w:val="Heading3"/>
      </w:pPr>
      <w:r>
        <w:t xml:space="preserve">Process Compliance</w:t>
      </w:r>
    </w:p>
    <w:p>
      <w:r>
        <w:pict>
          <v:rect style="width:0;height:1.5pt" o:hralign="center" o:hrstd="t" o:hr="t"/>
        </w:pict>
      </w:r>
    </w:p>
    <w:bookmarkEnd w:id="26"/>
    <w:bookmarkStart w:id="27" w:name="governance-compliance"/>
    <w:p>
      <w:pPr>
        <w:pStyle w:val="Heading3"/>
      </w:pPr>
      <w:r>
        <w:t xml:space="preserve">Governance Compliance</w:t>
      </w:r>
    </w:p>
    <w:p>
      <w:r>
        <w:pict>
          <v:rect style="width:0;height:1.5pt" o:hralign="center" o:hrstd="t" o:hr="t"/>
        </w:pict>
      </w:r>
    </w:p>
    <w:bookmarkEnd w:id="27"/>
    <w:bookmarkStart w:id="28" w:name="documentation-compliance"/>
    <w:p>
      <w:pPr>
        <w:pStyle w:val="Heading3"/>
      </w:pPr>
      <w:r>
        <w:t xml:space="preserve">Documentation Compliance</w:t>
      </w:r>
    </w:p>
    <w:p>
      <w:r>
        <w:pict>
          <v:rect style="width:0;height:1.5pt" o:hralign="center" o:hrstd="t" o:hr="t"/>
        </w:pict>
      </w:r>
    </w:p>
    <w:bookmarkEnd w:id="28"/>
    <w:bookmarkStart w:id="29" w:name="certification-compliance"/>
    <w:p>
      <w:pPr>
        <w:pStyle w:val="Heading3"/>
      </w:pPr>
      <w:r>
        <w:t xml:space="preserve">Certification Compliance</w:t>
      </w:r>
    </w:p>
    <w:p>
      <w:r>
        <w:pict>
          <v:rect style="width:0;height:1.5pt" o:hralign="center" o:hrstd="t" o:hr="t"/>
        </w:pict>
      </w:r>
    </w:p>
    <w:bookmarkEnd w:id="29"/>
    <w:bookmarkStart w:id="30" w:name="security-compliance"/>
    <w:p>
      <w:pPr>
        <w:pStyle w:val="Heading3"/>
      </w:pPr>
      <w:r>
        <w:t xml:space="preserve">Security Compliance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chapter-41"/>
    <w:p>
      <w:pPr>
        <w:pStyle w:val="Heading1"/>
      </w:pPr>
      <w:r>
        <w:t xml:space="preserve">CHAPTER 41</w:t>
      </w:r>
    </w:p>
    <w:bookmarkEnd w:id="33"/>
    <w:bookmarkStart w:id="41" w:name="continuous-audit-model"/>
    <w:p>
      <w:pPr>
        <w:pStyle w:val="Heading1"/>
      </w:pPr>
      <w:r>
        <w:t xml:space="preserve">CONTINUOUS AUDIT MODEL</w:t>
      </w:r>
    </w:p>
    <w:bookmarkStart w:id="34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Move auditing from periodic activity to continuous oversight.</w:t>
      </w:r>
    </w:p>
    <w:p>
      <w:r>
        <w:pict>
          <v:rect style="width:0;height:1.5pt" o:hralign="center" o:hrstd="t" o:hr="t"/>
        </w:pict>
      </w:r>
    </w:p>
    <w:bookmarkEnd w:id="34"/>
    <w:bookmarkStart w:id="40" w:name="continuous-audit-components"/>
    <w:p>
      <w:pPr>
        <w:pStyle w:val="Heading2"/>
      </w:pPr>
      <w:r>
        <w:t xml:space="preserve">Continuous Audit Components</w:t>
      </w:r>
    </w:p>
    <w:bookmarkStart w:id="35" w:name="monitoring"/>
    <w:p>
      <w:pPr>
        <w:pStyle w:val="Heading3"/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35"/>
    <w:bookmarkStart w:id="36" w:name="alerting"/>
    <w:p>
      <w:pPr>
        <w:pStyle w:val="Heading3"/>
      </w:pPr>
      <w:r>
        <w:t xml:space="preserve">Alerting</w:t>
      </w:r>
    </w:p>
    <w:p>
      <w:r>
        <w:pict>
          <v:rect style="width:0;height:1.5pt" o:hralign="center" o:hrstd="t" o:hr="t"/>
        </w:pict>
      </w:r>
    </w:p>
    <w:bookmarkEnd w:id="36"/>
    <w:bookmarkStart w:id="37" w:name="risk-detection"/>
    <w:p>
      <w:pPr>
        <w:pStyle w:val="Heading3"/>
      </w:pPr>
      <w:r>
        <w:t xml:space="preserve">Risk Detection</w:t>
      </w:r>
    </w:p>
    <w:p>
      <w:r>
        <w:pict>
          <v:rect style="width:0;height:1.5pt" o:hralign="center" o:hrstd="t" o:hr="t"/>
        </w:pict>
      </w:r>
    </w:p>
    <w:bookmarkEnd w:id="37"/>
    <w:bookmarkStart w:id="38" w:name="compliance-tracking"/>
    <w:p>
      <w:pPr>
        <w:pStyle w:val="Heading3"/>
      </w:pPr>
      <w:r>
        <w:t xml:space="preserve">Compliance Tracking</w:t>
      </w:r>
    </w:p>
    <w:p>
      <w:r>
        <w:pict>
          <v:rect style="width:0;height:1.5pt" o:hralign="center" o:hrstd="t" o:hr="t"/>
        </w:pict>
      </w:r>
    </w:p>
    <w:bookmarkEnd w:id="38"/>
    <w:bookmarkStart w:id="39" w:name="improvement-tracking"/>
    <w:p>
      <w:pPr>
        <w:pStyle w:val="Heading3"/>
      </w:pPr>
      <w:r>
        <w:t xml:space="preserve">Improvement Tracking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chapter-42"/>
    <w:p>
      <w:pPr>
        <w:pStyle w:val="Heading1"/>
      </w:pPr>
      <w:r>
        <w:t xml:space="preserve">CHAPTER 42</w:t>
      </w:r>
    </w:p>
    <w:bookmarkEnd w:id="42"/>
    <w:bookmarkStart w:id="50" w:name="audit-risk-management"/>
    <w:p>
      <w:pPr>
        <w:pStyle w:val="Heading1"/>
      </w:pPr>
      <w:r>
        <w:t xml:space="preserve">AUDIT RISK MANAGEMENT</w:t>
      </w:r>
    </w:p>
    <w:bookmarkStart w:id="4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audit-related risks.</w:t>
      </w:r>
    </w:p>
    <w:p>
      <w:r>
        <w:pict>
          <v:rect style="width:0;height:1.5pt" o:hralign="center" o:hrstd="t" o:hr="t"/>
        </w:pict>
      </w:r>
    </w:p>
    <w:bookmarkEnd w:id="43"/>
    <w:bookmarkStart w:id="49" w:name="risk-categories"/>
    <w:p>
      <w:pPr>
        <w:pStyle w:val="Heading2"/>
      </w:pPr>
      <w:r>
        <w:t xml:space="preserve">Risk Categories</w:t>
      </w:r>
    </w:p>
    <w:bookmarkStart w:id="44" w:name="evidence-risk"/>
    <w:p>
      <w:pPr>
        <w:pStyle w:val="Heading3"/>
      </w:pPr>
      <w:r>
        <w:t xml:space="preserve">Evidence Risk</w:t>
      </w:r>
    </w:p>
    <w:p>
      <w:r>
        <w:pict>
          <v:rect style="width:0;height:1.5pt" o:hralign="center" o:hrstd="t" o:hr="t"/>
        </w:pict>
      </w:r>
    </w:p>
    <w:bookmarkEnd w:id="44"/>
    <w:bookmarkStart w:id="45" w:name="compliance-risk"/>
    <w:p>
      <w:pPr>
        <w:pStyle w:val="Heading3"/>
      </w:pPr>
      <w:r>
        <w:t xml:space="preserve">Compliance Risk</w:t>
      </w:r>
    </w:p>
    <w:p>
      <w:r>
        <w:pict>
          <v:rect style="width:0;height:1.5pt" o:hralign="center" o:hrstd="t" o:hr="t"/>
        </w:pict>
      </w:r>
    </w:p>
    <w:bookmarkEnd w:id="45"/>
    <w:bookmarkStart w:id="46" w:name="quality-risk"/>
    <w:p>
      <w:pPr>
        <w:pStyle w:val="Heading3"/>
      </w:pPr>
      <w:r>
        <w:t xml:space="preserve">Quality Risk</w:t>
      </w:r>
    </w:p>
    <w:p>
      <w:r>
        <w:pict>
          <v:rect style="width:0;height:1.5pt" o:hralign="center" o:hrstd="t" o:hr="t"/>
        </w:pict>
      </w:r>
    </w:p>
    <w:bookmarkEnd w:id="46"/>
    <w:bookmarkStart w:id="47" w:name="operational-risk"/>
    <w:p>
      <w:pPr>
        <w:pStyle w:val="Heading3"/>
      </w:pPr>
      <w:r>
        <w:t xml:space="preserve">Operational Risk</w:t>
      </w:r>
    </w:p>
    <w:p>
      <w:r>
        <w:pict>
          <v:rect style="width:0;height:1.5pt" o:hralign="center" o:hrstd="t" o:hr="t"/>
        </w:pict>
      </w:r>
    </w:p>
    <w:bookmarkEnd w:id="47"/>
    <w:bookmarkStart w:id="48" w:name="governance-risk"/>
    <w:p>
      <w:pPr>
        <w:pStyle w:val="Heading3"/>
      </w:pPr>
      <w:r>
        <w:t xml:space="preserve">Governance Risk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chapter-43"/>
    <w:p>
      <w:pPr>
        <w:pStyle w:val="Heading1"/>
      </w:pPr>
      <w:r>
        <w:t xml:space="preserve">CHAPTER 43</w:t>
      </w:r>
    </w:p>
    <w:bookmarkEnd w:id="51"/>
    <w:bookmarkStart w:id="58" w:name="audit-exception-governance"/>
    <w:p>
      <w:pPr>
        <w:pStyle w:val="Heading1"/>
      </w:pPr>
      <w:r>
        <w:t xml:space="preserve">AUDIT EXCEPTION GOVERNANCE</w:t>
      </w:r>
    </w:p>
    <w:bookmarkStart w:id="5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 deviations from audit standards.</w:t>
      </w:r>
    </w:p>
    <w:p>
      <w:r>
        <w:pict>
          <v:rect style="width:0;height:1.5pt" o:hralign="center" o:hrstd="t" o:hr="t"/>
        </w:pict>
      </w:r>
    </w:p>
    <w:bookmarkEnd w:id="52"/>
    <w:bookmarkStart w:id="56" w:name="exception-categories"/>
    <w:p>
      <w:pPr>
        <w:pStyle w:val="Heading2"/>
      </w:pPr>
      <w:r>
        <w:t xml:space="preserve">Exception Categories</w:t>
      </w:r>
    </w:p>
    <w:bookmarkStart w:id="53" w:name="approved-exception"/>
    <w:p>
      <w:pPr>
        <w:pStyle w:val="Heading3"/>
      </w:pPr>
      <w:r>
        <w:t xml:space="preserve">Approved Exception</w:t>
      </w:r>
    </w:p>
    <w:p>
      <w:r>
        <w:pict>
          <v:rect style="width:0;height:1.5pt" o:hralign="center" o:hrstd="t" o:hr="t"/>
        </w:pict>
      </w:r>
    </w:p>
    <w:bookmarkEnd w:id="53"/>
    <w:bookmarkStart w:id="54" w:name="temporary-exception"/>
    <w:p>
      <w:pPr>
        <w:pStyle w:val="Heading3"/>
      </w:pPr>
      <w:r>
        <w:t xml:space="preserve">Temporary Exception</w:t>
      </w:r>
    </w:p>
    <w:p>
      <w:r>
        <w:pict>
          <v:rect style="width:0;height:1.5pt" o:hralign="center" o:hrstd="t" o:hr="t"/>
        </w:pict>
      </w:r>
    </w:p>
    <w:bookmarkEnd w:id="54"/>
    <w:bookmarkStart w:id="55" w:name="emergency-exception"/>
    <w:p>
      <w:pPr>
        <w:pStyle w:val="Heading3"/>
      </w:pPr>
      <w:r>
        <w:t xml:space="preserve">Emergency Exception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Exceptions must be documented and approved.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hapter-44"/>
    <w:p>
      <w:pPr>
        <w:pStyle w:val="Heading1"/>
      </w:pPr>
      <w:r>
        <w:t xml:space="preserve">CHAPTER 44</w:t>
      </w:r>
    </w:p>
    <w:bookmarkEnd w:id="59"/>
    <w:bookmarkStart w:id="63" w:name="audit-certification-readiness-gate"/>
    <w:p>
      <w:pPr>
        <w:pStyle w:val="Heading1"/>
      </w:pPr>
      <w:r>
        <w:t xml:space="preserve">AUDIT CERTIFICATION READINESS GATE</w:t>
      </w:r>
    </w:p>
    <w:bookmarkStart w:id="60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Determine eligibility for certification.</w:t>
      </w:r>
    </w:p>
    <w:p>
      <w:r>
        <w:pict>
          <v:rect style="width:0;height:1.5pt" o:hralign="center" o:hrstd="t" o:hr="t"/>
        </w:pict>
      </w:r>
    </w:p>
    <w:bookmarkEnd w:id="60"/>
    <w:bookmarkStart w:id="61" w:name="readiness-requirements"/>
    <w:p>
      <w:pPr>
        <w:pStyle w:val="Heading2"/>
      </w:pPr>
      <w:r>
        <w:t xml:space="preserve">Readiness Requirements</w:t>
      </w:r>
    </w:p>
    <w:p>
      <w:pPr>
        <w:pStyle w:val="Compact"/>
        <w:numPr>
          <w:ilvl w:val="0"/>
          <w:numId w:val="1001"/>
        </w:numPr>
      </w:pPr>
      <w:r>
        <w:t xml:space="preserve">Audit Approved</w:t>
      </w:r>
    </w:p>
    <w:p>
      <w:pPr>
        <w:pStyle w:val="Compact"/>
        <w:numPr>
          <w:ilvl w:val="0"/>
          <w:numId w:val="1001"/>
        </w:numPr>
      </w:pPr>
      <w:r>
        <w:t xml:space="preserve">Findings Resolved</w:t>
      </w:r>
    </w:p>
    <w:p>
      <w:pPr>
        <w:pStyle w:val="Compact"/>
        <w:numPr>
          <w:ilvl w:val="0"/>
          <w:numId w:val="1001"/>
        </w:numPr>
      </w:pPr>
      <w:r>
        <w:t xml:space="preserve">Evidence Verified</w:t>
      </w:r>
    </w:p>
    <w:p>
      <w:pPr>
        <w:pStyle w:val="Compact"/>
        <w:numPr>
          <w:ilvl w:val="0"/>
          <w:numId w:val="1001"/>
        </w:numPr>
      </w:pPr>
      <w:r>
        <w:t xml:space="preserve">Governance Approved</w:t>
      </w:r>
    </w:p>
    <w:p>
      <w:r>
        <w:pict>
          <v:rect style="width:0;height:1.5pt" o:hralign="center" o:hrstd="t" o:hr="t"/>
        </w:pict>
      </w:r>
    </w:p>
    <w:bookmarkEnd w:id="61"/>
    <w:bookmarkStart w:id="62" w:name="gate-rule"/>
    <w:p>
      <w:pPr>
        <w:pStyle w:val="Heading2"/>
      </w:pPr>
      <w:r>
        <w:t xml:space="preserve">Gate Rule</w:t>
      </w:r>
    </w:p>
    <w:p>
      <w:pPr>
        <w:pStyle w:val="FirstParagraph"/>
      </w:pPr>
      <w:r>
        <w:t xml:space="preserve">No certification without audit approval.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hapter-45"/>
    <w:p>
      <w:pPr>
        <w:pStyle w:val="Heading1"/>
      </w:pPr>
      <w:r>
        <w:t xml:space="preserve">CHAPTER 45</w:t>
      </w:r>
    </w:p>
    <w:bookmarkEnd w:id="64"/>
    <w:bookmarkStart w:id="66" w:name="audit-authority-declaration"/>
    <w:p>
      <w:pPr>
        <w:pStyle w:val="Heading1"/>
      </w:pPr>
      <w:r>
        <w:t xml:space="preserve">AUDIT AUTHORITY DECLARATION</w:t>
      </w:r>
    </w:p>
    <w:bookmarkStart w:id="65" w:name="constitutional-statement"/>
    <w:p>
      <w:pPr>
        <w:pStyle w:val="Heading2"/>
      </w:pPr>
      <w:r>
        <w:t xml:space="preserve">Constitutional Statement</w:t>
      </w:r>
    </w:p>
    <w:p>
      <w:pPr>
        <w:pStyle w:val="FirstParagraph"/>
      </w:pPr>
      <w:r>
        <w:t xml:space="preserve">Within CSI Ultimate Enterprise:</w:t>
      </w:r>
    </w:p>
    <w:p>
      <w:pPr>
        <w:pStyle w:val="BodyText"/>
      </w:pPr>
      <w:r>
        <w:t xml:space="preserve">No Stage</w:t>
      </w:r>
    </w:p>
    <w:p>
      <w:pPr>
        <w:pStyle w:val="BodyText"/>
      </w:pPr>
      <w:r>
        <w:t xml:space="preserve">No Workflow</w:t>
      </w:r>
    </w:p>
    <w:p>
      <w:pPr>
        <w:pStyle w:val="BodyText"/>
      </w:pPr>
      <w:r>
        <w:t xml:space="preserve">No Component</w:t>
      </w:r>
    </w:p>
    <w:p>
      <w:pPr>
        <w:pStyle w:val="BodyText"/>
      </w:pPr>
      <w:r>
        <w:t xml:space="preserve">No Service</w:t>
      </w:r>
    </w:p>
    <w:p>
      <w:pPr>
        <w:pStyle w:val="BodyText"/>
      </w:pPr>
      <w:r>
        <w:t xml:space="preserve">No Intelligence Asset</w:t>
      </w:r>
    </w:p>
    <w:p>
      <w:pPr>
        <w:pStyle w:val="BodyText"/>
      </w:pPr>
      <w:r>
        <w:t xml:space="preserve">shall be considered complete without formal audit review.</w:t>
      </w:r>
    </w:p>
    <w:p>
      <w:pPr>
        <w:pStyle w:val="BodyText"/>
      </w:pPr>
      <w:r>
        <w:t xml:space="preserve">Audit approval is mandatory.</w:t>
      </w:r>
    </w:p>
    <w:p>
      <w:pPr>
        <w:pStyle w:val="BodyText"/>
      </w:pPr>
      <w:r>
        <w:t xml:space="preserve">Certification depends on audit success.</w:t>
      </w:r>
    </w:p>
    <w:p>
      <w:pPr>
        <w:pStyle w:val="BodyText"/>
      </w:pPr>
      <w:r>
        <w:t xml:space="preserve">Operational use depends on certification approval.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hapter-46"/>
    <w:p>
      <w:pPr>
        <w:pStyle w:val="Heading1"/>
      </w:pPr>
      <w:r>
        <w:t xml:space="preserve">CHAPTER 46</w:t>
      </w:r>
    </w:p>
    <w:bookmarkEnd w:id="67"/>
    <w:bookmarkStart w:id="69" w:name="audit-governance-declaration"/>
    <w:p>
      <w:pPr>
        <w:pStyle w:val="Heading1"/>
      </w:pPr>
      <w:r>
        <w:t xml:space="preserve">AUDIT GOVERNANCE DECLARATION</w:t>
      </w:r>
    </w:p>
    <w:bookmarkStart w:id="68" w:name="official-principle"/>
    <w:p>
      <w:pPr>
        <w:pStyle w:val="Heading2"/>
      </w:pPr>
      <w:r>
        <w:t xml:space="preserve">Official Principle</w:t>
      </w:r>
    </w:p>
    <w:p>
      <w:pPr>
        <w:pStyle w:val="FirstParagraph"/>
      </w:pPr>
      <w:r>
        <w:t xml:space="preserve">Enterprise Quality Before Speed.</w:t>
      </w:r>
    </w:p>
    <w:p>
      <w:pPr>
        <w:pStyle w:val="BodyText"/>
      </w:pPr>
      <w:r>
        <w:t xml:space="preserve">Evidence Before Assumptions.</w:t>
      </w:r>
    </w:p>
    <w:p>
      <w:pPr>
        <w:pStyle w:val="BodyText"/>
      </w:pPr>
      <w:r>
        <w:t xml:space="preserve">Governance Before Approval.</w:t>
      </w:r>
    </w:p>
    <w:p>
      <w:pPr>
        <w:pStyle w:val="BodyText"/>
      </w:pPr>
      <w:r>
        <w:t xml:space="preserve">Certification Before Completion.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volume-iv-completion-statement"/>
    <w:p>
      <w:pPr>
        <w:pStyle w:val="Heading1"/>
      </w:pPr>
      <w:r>
        <w:t xml:space="preserve">VOLUME IV COMPLETION STATEMENT</w:t>
      </w:r>
    </w:p>
    <w:p>
      <w:pPr>
        <w:pStyle w:val="FirstParagraph"/>
      </w:pPr>
      <w:r>
        <w:t xml:space="preserve">Volume IV establishes:</w:t>
      </w:r>
    </w:p>
    <w:p>
      <w:pPr>
        <w:pStyle w:val="Compact"/>
        <w:numPr>
          <w:ilvl w:val="0"/>
          <w:numId w:val="1002"/>
        </w:numPr>
      </w:pPr>
      <w:r>
        <w:t xml:space="preserve">Audit Governance Foundations</w:t>
      </w:r>
    </w:p>
    <w:p>
      <w:pPr>
        <w:pStyle w:val="Compact"/>
        <w:numPr>
          <w:ilvl w:val="0"/>
          <w:numId w:val="1002"/>
        </w:numPr>
      </w:pPr>
      <w:r>
        <w:t xml:space="preserve">Audit Evidence Standards</w:t>
      </w:r>
    </w:p>
    <w:p>
      <w:pPr>
        <w:pStyle w:val="Compact"/>
        <w:numPr>
          <w:ilvl w:val="0"/>
          <w:numId w:val="1002"/>
        </w:numPr>
      </w:pPr>
      <w:r>
        <w:t xml:space="preserve">Audit Findings Management</w:t>
      </w:r>
    </w:p>
    <w:p>
      <w:pPr>
        <w:pStyle w:val="Compact"/>
        <w:numPr>
          <w:ilvl w:val="0"/>
          <w:numId w:val="1002"/>
        </w:numPr>
      </w:pPr>
      <w:r>
        <w:t xml:space="preserve">Gap Analysis Methodology</w:t>
      </w:r>
    </w:p>
    <w:p>
      <w:pPr>
        <w:pStyle w:val="Compact"/>
        <w:numPr>
          <w:ilvl w:val="0"/>
          <w:numId w:val="1002"/>
        </w:numPr>
      </w:pPr>
      <w:r>
        <w:t xml:space="preserve">Remediation Framework</w:t>
      </w:r>
    </w:p>
    <w:p>
      <w:pPr>
        <w:pStyle w:val="Compact"/>
        <w:numPr>
          <w:ilvl w:val="0"/>
          <w:numId w:val="1002"/>
        </w:numPr>
      </w:pPr>
      <w:r>
        <w:t xml:space="preserve">Audit Scoring Models</w:t>
      </w:r>
    </w:p>
    <w:p>
      <w:pPr>
        <w:pStyle w:val="Compact"/>
        <w:numPr>
          <w:ilvl w:val="0"/>
          <w:numId w:val="1002"/>
        </w:numPr>
      </w:pPr>
      <w:r>
        <w:t xml:space="preserve">Audit Approval Structures</w:t>
      </w:r>
    </w:p>
    <w:p>
      <w:pPr>
        <w:pStyle w:val="Compact"/>
        <w:numPr>
          <w:ilvl w:val="0"/>
          <w:numId w:val="1002"/>
        </w:numPr>
      </w:pPr>
      <w:r>
        <w:t xml:space="preserve">Audit Templates</w:t>
      </w:r>
    </w:p>
    <w:p>
      <w:pPr>
        <w:pStyle w:val="Compact"/>
        <w:numPr>
          <w:ilvl w:val="0"/>
          <w:numId w:val="1002"/>
        </w:numPr>
      </w:pPr>
      <w:r>
        <w:t xml:space="preserve">Audit Metrics</w:t>
      </w:r>
    </w:p>
    <w:p>
      <w:pPr>
        <w:pStyle w:val="Compact"/>
        <w:numPr>
          <w:ilvl w:val="0"/>
          <w:numId w:val="1002"/>
        </w:numPr>
      </w:pPr>
      <w:r>
        <w:t xml:space="preserve">Audit Compliance Models</w:t>
      </w:r>
    </w:p>
    <w:p>
      <w:pPr>
        <w:pStyle w:val="Compact"/>
        <w:numPr>
          <w:ilvl w:val="0"/>
          <w:numId w:val="1002"/>
        </w:numPr>
      </w:pPr>
      <w:r>
        <w:t xml:space="preserve">Continuous Audit Framework</w:t>
      </w:r>
    </w:p>
    <w:p>
      <w:pPr>
        <w:pStyle w:val="Compact"/>
        <w:numPr>
          <w:ilvl w:val="0"/>
          <w:numId w:val="1002"/>
        </w:numPr>
      </w:pPr>
      <w:r>
        <w:t xml:space="preserve">Certification Readiness Gates</w:t>
      </w:r>
    </w:p>
    <w:p>
      <w:pPr>
        <w:pStyle w:val="FirstParagraph"/>
      </w:pPr>
      <w:r>
        <w:t xml:space="preserve">These structures form the mandatory auditing authority governing all CSI stages.</w:t>
      </w:r>
    </w:p>
    <w:p>
      <w:r>
        <w:pict>
          <v:rect style="width:0;height:1.5pt" o:hralign="center" o:hrstd="t" o:hr="t"/>
        </w:pict>
      </w:r>
    </w:p>
    <w:bookmarkEnd w:id="70"/>
    <w:bookmarkStart w:id="71" w:name="volume-iv-status"/>
    <w:p>
      <w:pPr>
        <w:pStyle w:val="Heading1"/>
      </w:pPr>
      <w:r>
        <w:t xml:space="preserve">VOLUME IV STATUS</w:t>
      </w:r>
    </w:p>
    <w:p>
      <w:pPr>
        <w:pStyle w:val="FirstParagraph"/>
      </w:pPr>
      <w:r>
        <w:t xml:space="preserve">Completed Parts:</w:t>
      </w:r>
    </w:p>
    <w:p>
      <w:pPr>
        <w:pStyle w:val="Compact"/>
        <w:numPr>
          <w:ilvl w:val="0"/>
          <w:numId w:val="1003"/>
        </w:numPr>
      </w:pPr>
      <w:r>
        <w:t xml:space="preserve">Part 1</w:t>
      </w:r>
    </w:p>
    <w:p>
      <w:pPr>
        <w:pStyle w:val="Compact"/>
        <w:numPr>
          <w:ilvl w:val="0"/>
          <w:numId w:val="1003"/>
        </w:numPr>
      </w:pPr>
      <w:r>
        <w:t xml:space="preserve">Part 2</w:t>
      </w:r>
    </w:p>
    <w:p>
      <w:pPr>
        <w:pStyle w:val="Compact"/>
        <w:numPr>
          <w:ilvl w:val="0"/>
          <w:numId w:val="1003"/>
        </w:numPr>
      </w:pPr>
      <w:r>
        <w:t xml:space="preserve">Part 3</w:t>
      </w:r>
    </w:p>
    <w:p>
      <w:pPr>
        <w:pStyle w:val="Compact"/>
        <w:numPr>
          <w:ilvl w:val="0"/>
          <w:numId w:val="1003"/>
        </w:numPr>
      </w:pPr>
      <w:r>
        <w:t xml:space="preserve">Part 4</w:t>
      </w:r>
    </w:p>
    <w:p>
      <w:pPr>
        <w:pStyle w:val="Compact"/>
        <w:numPr>
          <w:ilvl w:val="0"/>
          <w:numId w:val="1003"/>
        </w:numPr>
      </w:pPr>
      <w:r>
        <w:t xml:space="preserve">Part 5</w:t>
      </w:r>
    </w:p>
    <w:p>
      <w:pPr>
        <w:pStyle w:val="Compact"/>
        <w:numPr>
          <w:ilvl w:val="0"/>
          <w:numId w:val="1003"/>
        </w:numPr>
      </w:pPr>
      <w:r>
        <w:t xml:space="preserve">Part 6</w:t>
      </w:r>
    </w:p>
    <w:p>
      <w:pPr>
        <w:pStyle w:val="FirstParagraph"/>
      </w:pPr>
      <w:r>
        <w:t xml:space="preserve">Volume IV Status: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READY FOR CERTIFICATION FRAMEWORK INTEGRATION</w:t>
      </w:r>
    </w:p>
    <w:p>
      <w:pPr>
        <w:pStyle w:val="BodyText"/>
      </w:pPr>
      <w:r>
        <w:t xml:space="preserve">READY FOR VOLUME V</w:t>
      </w:r>
    </w:p>
    <w:p>
      <w:r>
        <w:pict>
          <v:rect style="width:0;height:1.5pt" o:hralign="center" o:hrstd="t" o:hr="t"/>
        </w:pict>
      </w:r>
    </w:p>
    <w:bookmarkEnd w:id="71"/>
    <w:bookmarkStart w:id="72" w:name="next-volume"/>
    <w:p>
      <w:pPr>
        <w:pStyle w:val="Heading1"/>
      </w:pPr>
      <w:r>
        <w:t xml:space="preserve">NEXT VOLUME</w:t>
      </w:r>
    </w:p>
    <w:p>
      <w:pPr>
        <w:pStyle w:val="FirstParagraph"/>
      </w:pPr>
      <w:r>
        <w:t xml:space="preserve">Volume V</w:t>
      </w:r>
    </w:p>
    <w:p>
      <w:pPr>
        <w:pStyle w:val="BodyText"/>
      </w:pPr>
      <w:r>
        <w:t xml:space="preserve">Stage Certification Framework</w:t>
      </w:r>
    </w:p>
    <w:p>
      <w:pPr>
        <w:pStyle w:val="BodyText"/>
      </w:pPr>
      <w:r>
        <w:t xml:space="preserve">This volume will establish:</w:t>
      </w:r>
    </w:p>
    <w:p>
      <w:pPr>
        <w:pStyle w:val="Compact"/>
        <w:numPr>
          <w:ilvl w:val="0"/>
          <w:numId w:val="1004"/>
        </w:numPr>
      </w:pPr>
      <w:r>
        <w:t xml:space="preserve">Certification Methodology</w:t>
      </w:r>
    </w:p>
    <w:p>
      <w:pPr>
        <w:pStyle w:val="Compact"/>
        <w:numPr>
          <w:ilvl w:val="0"/>
          <w:numId w:val="1004"/>
        </w:numPr>
      </w:pPr>
      <w:r>
        <w:t xml:space="preserve">Certification Scoring</w:t>
      </w:r>
    </w:p>
    <w:p>
      <w:pPr>
        <w:pStyle w:val="Compact"/>
        <w:numPr>
          <w:ilvl w:val="0"/>
          <w:numId w:val="1004"/>
        </w:numPr>
      </w:pPr>
      <w:r>
        <w:t xml:space="preserve">Certification Levels</w:t>
      </w:r>
    </w:p>
    <w:p>
      <w:pPr>
        <w:pStyle w:val="Compact"/>
        <w:numPr>
          <w:ilvl w:val="0"/>
          <w:numId w:val="1004"/>
        </w:numPr>
      </w:pPr>
      <w:r>
        <w:t xml:space="preserve">Certification Templates</w:t>
      </w:r>
    </w:p>
    <w:p>
      <w:pPr>
        <w:pStyle w:val="Compact"/>
        <w:numPr>
          <w:ilvl w:val="0"/>
          <w:numId w:val="1004"/>
        </w:numPr>
      </w:pPr>
      <w:r>
        <w:t xml:space="preserve">Certification Decisions</w:t>
      </w:r>
    </w:p>
    <w:p>
      <w:pPr>
        <w:pStyle w:val="Compact"/>
        <w:numPr>
          <w:ilvl w:val="0"/>
          <w:numId w:val="1004"/>
        </w:numPr>
      </w:pPr>
      <w:r>
        <w:t xml:space="preserve">Certification Governance</w:t>
      </w:r>
    </w:p>
    <w:p>
      <w:pPr>
        <w:pStyle w:val="Compact"/>
        <w:numPr>
          <w:ilvl w:val="0"/>
          <w:numId w:val="1004"/>
        </w:numPr>
      </w:pPr>
      <w:r>
        <w:t xml:space="preserve">Enterprise Approval Authority</w:t>
      </w:r>
    </w:p>
    <w:p>
      <w:pPr>
        <w:pStyle w:val="FirstParagraph"/>
      </w:pPr>
      <w:r>
        <w:t xml:space="preserve">and will become the official certification authority for CSI Ultimate Enterprise.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2026-06-10T09:45:32Z</dcterms:created>
  <dcterms:modified xsi:type="dcterms:W3CDTF">2026-06-10T09:45:32Z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