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v-mandatory-stage-audit-protocol"/>
    <w:p>
      <w:pPr>
        <w:pStyle w:val="Heading3"/>
      </w:pPr>
      <w:r>
        <w:t xml:space="preserve">Volume IV – Mandatory Stage Audit Protocol</w:t>
      </w:r>
    </w:p>
    <w:bookmarkEnd w:id="20"/>
    <w:bookmarkStart w:id="21" w:name="part-2"/>
    <w:p>
      <w:pPr>
        <w:pStyle w:val="Heading3"/>
      </w:pPr>
      <w:r>
        <w:t xml:space="preserve">Part 2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Audit Office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1"/>
    <w:p>
      <w:pPr>
        <w:pStyle w:val="Heading1"/>
      </w:pPr>
      <w:r>
        <w:t xml:space="preserve">CHAPTER 11</w:t>
      </w:r>
    </w:p>
    <w:bookmarkEnd w:id="24"/>
    <w:bookmarkStart w:id="28" w:name="audit-evidence-framework"/>
    <w:p>
      <w:pPr>
        <w:pStyle w:val="Heading1"/>
      </w:pPr>
      <w:r>
        <w:t xml:space="preserve">AUDIT EVIDENCE FRAMEWORK</w:t>
      </w:r>
    </w:p>
    <w:bookmarkStart w:id="25" w:name="purpose"/>
    <w:p>
      <w:pPr>
        <w:pStyle w:val="Heading2"/>
      </w:pPr>
      <w:r>
        <w:t xml:space="preserve">11.1 Purpose</w:t>
      </w:r>
    </w:p>
    <w:p>
      <w:pPr>
        <w:pStyle w:val="FirstParagraph"/>
      </w:pPr>
      <w:r>
        <w:t xml:space="preserve">Audit conclusions shall be supported by verifiable evidence.</w:t>
      </w:r>
    </w:p>
    <w:p>
      <w:pPr>
        <w:pStyle w:val="BodyText"/>
      </w:pPr>
      <w:r>
        <w:t xml:space="preserve">No finding may exist without supporting evidence.</w:t>
      </w:r>
    </w:p>
    <w:p>
      <w:r>
        <w:pict>
          <v:rect style="width:0;height:1.5pt" o:hralign="center" o:hrstd="t" o:hr="t"/>
        </w:pict>
      </w:r>
    </w:p>
    <w:bookmarkEnd w:id="25"/>
    <w:bookmarkStart w:id="26" w:name="evidence-objectives"/>
    <w:p>
      <w:pPr>
        <w:pStyle w:val="Heading2"/>
      </w:pPr>
      <w:r>
        <w:t xml:space="preserve">11.2 Evidence Objectives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1"/>
        </w:numPr>
      </w:pPr>
      <w:r>
        <w:t xml:space="preserve">Objectivity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Defensibility</w:t>
      </w:r>
    </w:p>
    <w:p>
      <w:pPr>
        <w:pStyle w:val="Compact"/>
        <w:numPr>
          <w:ilvl w:val="0"/>
          <w:numId w:val="1001"/>
        </w:numPr>
      </w:pPr>
      <w:r>
        <w:t xml:space="preserve">Repeatability</w:t>
      </w:r>
    </w:p>
    <w:p>
      <w:r>
        <w:pict>
          <v:rect style="width:0;height:1.5pt" o:hralign="center" o:hrstd="t" o:hr="t"/>
        </w:pict>
      </w:r>
    </w:p>
    <w:bookmarkEnd w:id="26"/>
    <w:bookmarkStart w:id="27" w:name="constitutional-rule"/>
    <w:p>
      <w:pPr>
        <w:pStyle w:val="Heading2"/>
      </w:pPr>
      <w:r>
        <w:t xml:space="preserve">11.3 Constitutional Rule</w:t>
      </w:r>
    </w:p>
    <w:p>
      <w:pPr>
        <w:pStyle w:val="FirstParagraph"/>
      </w:pPr>
      <w:r>
        <w:t xml:space="preserve">Evidence supersedes assumptions.</w:t>
      </w:r>
    </w:p>
    <w:p>
      <w:pPr>
        <w:pStyle w:val="BodyText"/>
      </w:pPr>
      <w:r>
        <w:t xml:space="preserve">Evidence supersedes opinions.</w:t>
      </w:r>
    </w:p>
    <w:p>
      <w:pPr>
        <w:pStyle w:val="BodyText"/>
      </w:pPr>
      <w:r>
        <w:t xml:space="preserve">Evidence supersedes undocumented claims.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12"/>
    <w:p>
      <w:pPr>
        <w:pStyle w:val="Heading1"/>
      </w:pPr>
      <w:r>
        <w:t xml:space="preserve">CHAPTER 12</w:t>
      </w:r>
    </w:p>
    <w:bookmarkEnd w:id="29"/>
    <w:bookmarkStart w:id="37" w:name="evidence-classification-model"/>
    <w:p>
      <w:pPr>
        <w:pStyle w:val="Heading1"/>
      </w:pPr>
      <w:r>
        <w:t xml:space="preserve">EVIDENCE CLASSIFICATION MODEL</w:t>
      </w:r>
    </w:p>
    <w:bookmarkStart w:id="30" w:name="purpose-1"/>
    <w:p>
      <w:pPr>
        <w:pStyle w:val="Heading2"/>
      </w:pPr>
      <w:r>
        <w:t xml:space="preserve">12.1 Purpose</w:t>
      </w:r>
    </w:p>
    <w:p>
      <w:pPr>
        <w:pStyle w:val="FirstParagraph"/>
      </w:pPr>
      <w:r>
        <w:t xml:space="preserve">Evidence shall be classified according to enterprise standards.</w:t>
      </w:r>
    </w:p>
    <w:p>
      <w:r>
        <w:pict>
          <v:rect style="width:0;height:1.5pt" o:hralign="center" o:hrstd="t" o:hr="t"/>
        </w:pict>
      </w:r>
    </w:p>
    <w:bookmarkEnd w:id="30"/>
    <w:bookmarkStart w:id="36" w:name="evidence-categories"/>
    <w:p>
      <w:pPr>
        <w:pStyle w:val="Heading2"/>
      </w:pPr>
      <w:r>
        <w:t xml:space="preserve">12.2 Evidence Categories</w:t>
      </w:r>
    </w:p>
    <w:bookmarkStart w:id="31" w:name="category-a"/>
    <w:p>
      <w:pPr>
        <w:pStyle w:val="Heading3"/>
      </w:pPr>
      <w:r>
        <w:t xml:space="preserve">Category A</w:t>
      </w:r>
    </w:p>
    <w:p>
      <w:pPr>
        <w:pStyle w:val="FirstParagraph"/>
      </w:pPr>
      <w:r>
        <w:t xml:space="preserve">Functional Evidence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Test Results</w:t>
      </w:r>
    </w:p>
    <w:p>
      <w:pPr>
        <w:pStyle w:val="Compact"/>
        <w:numPr>
          <w:ilvl w:val="0"/>
          <w:numId w:val="1002"/>
        </w:numPr>
      </w:pPr>
      <w:r>
        <w:t xml:space="preserve">Execution Results</w:t>
      </w:r>
    </w:p>
    <w:p>
      <w:pPr>
        <w:pStyle w:val="Compact"/>
        <w:numPr>
          <w:ilvl w:val="0"/>
          <w:numId w:val="1002"/>
        </w:numPr>
      </w:pPr>
      <w:r>
        <w:t xml:space="preserve">Validation Results</w:t>
      </w:r>
    </w:p>
    <w:p>
      <w:r>
        <w:pict>
          <v:rect style="width:0;height:1.5pt" o:hralign="center" o:hrstd="t" o:hr="t"/>
        </w:pict>
      </w:r>
    </w:p>
    <w:bookmarkEnd w:id="31"/>
    <w:bookmarkStart w:id="32" w:name="category-b"/>
    <w:p>
      <w:pPr>
        <w:pStyle w:val="Heading3"/>
      </w:pPr>
      <w:r>
        <w:t xml:space="preserve">Category B</w:t>
      </w:r>
    </w:p>
    <w:p>
      <w:pPr>
        <w:pStyle w:val="FirstParagraph"/>
      </w:pPr>
      <w:r>
        <w:t xml:space="preserve">Operational Evidence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Logs</w:t>
      </w:r>
    </w:p>
    <w:p>
      <w:pPr>
        <w:pStyle w:val="Compact"/>
        <w:numPr>
          <w:ilvl w:val="0"/>
          <w:numId w:val="1003"/>
        </w:numPr>
      </w:pPr>
      <w:r>
        <w:t xml:space="preserve">Monitoring Data</w:t>
      </w:r>
    </w:p>
    <w:p>
      <w:pPr>
        <w:pStyle w:val="Compact"/>
        <w:numPr>
          <w:ilvl w:val="0"/>
          <w:numId w:val="1003"/>
        </w:numPr>
      </w:pPr>
      <w:r>
        <w:t xml:space="preserve">Runtime Metrics</w:t>
      </w:r>
    </w:p>
    <w:p>
      <w:r>
        <w:pict>
          <v:rect style="width:0;height:1.5pt" o:hralign="center" o:hrstd="t" o:hr="t"/>
        </w:pict>
      </w:r>
    </w:p>
    <w:bookmarkEnd w:id="32"/>
    <w:bookmarkStart w:id="33" w:name="category-c"/>
    <w:p>
      <w:pPr>
        <w:pStyle w:val="Heading3"/>
      </w:pPr>
      <w:r>
        <w:t xml:space="preserve">Category C</w:t>
      </w:r>
    </w:p>
    <w:p>
      <w:pPr>
        <w:pStyle w:val="FirstParagraph"/>
      </w:pPr>
      <w:r>
        <w:t xml:space="preserve">Governance Evidence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Audit Reports</w:t>
      </w:r>
    </w:p>
    <w:p>
      <w:pPr>
        <w:pStyle w:val="Compact"/>
        <w:numPr>
          <w:ilvl w:val="0"/>
          <w:numId w:val="1004"/>
        </w:numPr>
      </w:pPr>
      <w:r>
        <w:t xml:space="preserve">Approval Records</w:t>
      </w:r>
    </w:p>
    <w:p>
      <w:pPr>
        <w:pStyle w:val="Compact"/>
        <w:numPr>
          <w:ilvl w:val="0"/>
          <w:numId w:val="1004"/>
        </w:numPr>
      </w:pPr>
      <w:r>
        <w:t xml:space="preserve">Compliance Records</w:t>
      </w:r>
    </w:p>
    <w:p>
      <w:r>
        <w:pict>
          <v:rect style="width:0;height:1.5pt" o:hralign="center" o:hrstd="t" o:hr="t"/>
        </w:pict>
      </w:r>
    </w:p>
    <w:bookmarkEnd w:id="33"/>
    <w:bookmarkStart w:id="34" w:name="category-d"/>
    <w:p>
      <w:pPr>
        <w:pStyle w:val="Heading3"/>
      </w:pPr>
      <w:r>
        <w:t xml:space="preserve">Category D</w:t>
      </w:r>
    </w:p>
    <w:p>
      <w:pPr>
        <w:pStyle w:val="FirstParagraph"/>
      </w:pPr>
      <w:r>
        <w:t xml:space="preserve">Commercial Evidence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Business Outcomes</w:t>
      </w:r>
    </w:p>
    <w:p>
      <w:pPr>
        <w:pStyle w:val="Compact"/>
        <w:numPr>
          <w:ilvl w:val="0"/>
          <w:numId w:val="1005"/>
        </w:numPr>
      </w:pPr>
      <w:r>
        <w:t xml:space="preserve">KPI Reports</w:t>
      </w:r>
    </w:p>
    <w:p>
      <w:pPr>
        <w:pStyle w:val="Compact"/>
        <w:numPr>
          <w:ilvl w:val="0"/>
          <w:numId w:val="1005"/>
        </w:numPr>
      </w:pPr>
      <w:r>
        <w:t xml:space="preserve">Opportunity Metrics</w:t>
      </w:r>
    </w:p>
    <w:p>
      <w:r>
        <w:pict>
          <v:rect style="width:0;height:1.5pt" o:hralign="center" o:hrstd="t" o:hr="t"/>
        </w:pict>
      </w:r>
    </w:p>
    <w:bookmarkEnd w:id="34"/>
    <w:bookmarkStart w:id="35" w:name="category-e"/>
    <w:p>
      <w:pPr>
        <w:pStyle w:val="Heading3"/>
      </w:pPr>
      <w:r>
        <w:t xml:space="preserve">Category E</w:t>
      </w:r>
    </w:p>
    <w:p>
      <w:pPr>
        <w:pStyle w:val="FirstParagraph"/>
      </w:pPr>
      <w:r>
        <w:t xml:space="preserve">Architectural Evidence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Diagrams</w:t>
      </w:r>
    </w:p>
    <w:p>
      <w:pPr>
        <w:pStyle w:val="Compact"/>
        <w:numPr>
          <w:ilvl w:val="0"/>
          <w:numId w:val="1006"/>
        </w:numPr>
      </w:pPr>
      <w:r>
        <w:t xml:space="preserve">Design Documents</w:t>
      </w:r>
    </w:p>
    <w:p>
      <w:pPr>
        <w:pStyle w:val="Compact"/>
        <w:numPr>
          <w:ilvl w:val="0"/>
          <w:numId w:val="1006"/>
        </w:numPr>
      </w:pPr>
      <w:r>
        <w:t xml:space="preserve">Architecture Decisions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chapter-13"/>
    <w:p>
      <w:pPr>
        <w:pStyle w:val="Heading1"/>
      </w:pPr>
      <w:r>
        <w:t xml:space="preserve">CHAPTER 13</w:t>
      </w:r>
    </w:p>
    <w:bookmarkEnd w:id="38"/>
    <w:bookmarkStart w:id="42" w:name="evidence-collection-procedures"/>
    <w:p>
      <w:pPr>
        <w:pStyle w:val="Heading1"/>
      </w:pPr>
      <w:r>
        <w:t xml:space="preserve">EVIDENCE COLLECTION PROCEDURES</w:t>
      </w:r>
    </w:p>
    <w:bookmarkStart w:id="39" w:name="purpose-2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Evidence shall be collected systematically.</w:t>
      </w:r>
    </w:p>
    <w:p>
      <w:r>
        <w:pict>
          <v:rect style="width:0;height:1.5pt" o:hralign="center" o:hrstd="t" o:hr="t"/>
        </w:pict>
      </w:r>
    </w:p>
    <w:bookmarkEnd w:id="39"/>
    <w:bookmarkStart w:id="40" w:name="collection-lifecycle"/>
    <w:p>
      <w:pPr>
        <w:pStyle w:val="Heading2"/>
      </w:pPr>
      <w:r>
        <w:t xml:space="preserve">13.2 Collection Lifecycle</w:t>
      </w:r>
    </w:p>
    <w:p>
      <w:pPr>
        <w:pStyle w:val="FirstParagraph"/>
      </w:pPr>
      <w:r>
        <w:t xml:space="preserve">Evidence Identification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Review</w:t>
      </w:r>
    </w:p>
    <w:p>
      <w:r>
        <w:pict>
          <v:rect style="width:0;height:1.5pt" o:hralign="center" o:hrstd="t" o:hr="t"/>
        </w:pict>
      </w:r>
    </w:p>
    <w:bookmarkEnd w:id="40"/>
    <w:bookmarkStart w:id="41" w:name="collection-rule"/>
    <w:p>
      <w:pPr>
        <w:pStyle w:val="Heading2"/>
      </w:pPr>
      <w:r>
        <w:t xml:space="preserve">13.3 Collection Rule</w:t>
      </w:r>
    </w:p>
    <w:p>
      <w:pPr>
        <w:pStyle w:val="FirstParagraph"/>
      </w:pPr>
      <w:r>
        <w:t xml:space="preserve">Evidence must be collected before audit conclusions are created.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hapter-14"/>
    <w:p>
      <w:pPr>
        <w:pStyle w:val="Heading1"/>
      </w:pPr>
      <w:r>
        <w:t xml:space="preserve">CHAPTER 14</w:t>
      </w:r>
    </w:p>
    <w:bookmarkEnd w:id="43"/>
    <w:bookmarkStart w:id="48" w:name="evidence-validation-standards"/>
    <w:p>
      <w:pPr>
        <w:pStyle w:val="Heading1"/>
      </w:pPr>
      <w:r>
        <w:t xml:space="preserve">EVIDENCE VALIDATION STANDARDS</w:t>
      </w:r>
    </w:p>
    <w:bookmarkStart w:id="44" w:name="purpose-3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Evidence quality shall be verified.</w:t>
      </w:r>
    </w:p>
    <w:p>
      <w:r>
        <w:pict>
          <v:rect style="width:0;height:1.5pt" o:hralign="center" o:hrstd="t" o:hr="t"/>
        </w:pict>
      </w:r>
    </w:p>
    <w:bookmarkEnd w:id="44"/>
    <w:bookmarkStart w:id="45" w:name="validation-requirements"/>
    <w:p>
      <w:pPr>
        <w:pStyle w:val="Heading2"/>
      </w:pPr>
      <w:r>
        <w:t xml:space="preserve">14.2 Validation Requirements</w:t>
      </w:r>
    </w:p>
    <w:p>
      <w:pPr>
        <w:pStyle w:val="FirstParagraph"/>
      </w:pPr>
      <w:r>
        <w:t xml:space="preserve">Evidence must be:</w:t>
      </w:r>
    </w:p>
    <w:p>
      <w:pPr>
        <w:pStyle w:val="Compact"/>
        <w:numPr>
          <w:ilvl w:val="0"/>
          <w:numId w:val="1007"/>
        </w:numPr>
      </w:pPr>
      <w:r>
        <w:t xml:space="preserve">Accurate</w:t>
      </w:r>
    </w:p>
    <w:p>
      <w:pPr>
        <w:pStyle w:val="Compact"/>
        <w:numPr>
          <w:ilvl w:val="0"/>
          <w:numId w:val="1007"/>
        </w:numPr>
      </w:pPr>
      <w:r>
        <w:t xml:space="preserve">Complete</w:t>
      </w:r>
    </w:p>
    <w:p>
      <w:pPr>
        <w:pStyle w:val="Compact"/>
        <w:numPr>
          <w:ilvl w:val="0"/>
          <w:numId w:val="1007"/>
        </w:numPr>
      </w:pPr>
      <w:r>
        <w:t xml:space="preserve">Relevant</w:t>
      </w:r>
    </w:p>
    <w:p>
      <w:pPr>
        <w:pStyle w:val="Compact"/>
        <w:numPr>
          <w:ilvl w:val="0"/>
          <w:numId w:val="1007"/>
        </w:numPr>
      </w:pPr>
      <w:r>
        <w:t xml:space="preserve">Current</w:t>
      </w:r>
    </w:p>
    <w:p>
      <w:pPr>
        <w:pStyle w:val="Compact"/>
        <w:numPr>
          <w:ilvl w:val="0"/>
          <w:numId w:val="1007"/>
        </w:numPr>
      </w:pPr>
      <w:r>
        <w:t xml:space="preserve">Verifiable</w:t>
      </w:r>
    </w:p>
    <w:p>
      <w:r>
        <w:pict>
          <v:rect style="width:0;height:1.5pt" o:hralign="center" o:hrstd="t" o:hr="t"/>
        </w:pict>
      </w:r>
    </w:p>
    <w:bookmarkEnd w:id="45"/>
    <w:bookmarkStart w:id="46" w:name="invalid-evidence-examples"/>
    <w:p>
      <w:pPr>
        <w:pStyle w:val="Heading2"/>
      </w:pPr>
      <w:r>
        <w:t xml:space="preserve">14.3 Invalid Evidence Examples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8"/>
        </w:numPr>
      </w:pPr>
      <w:r>
        <w:t xml:space="preserve">Unsupported Statements</w:t>
      </w:r>
    </w:p>
    <w:p>
      <w:pPr>
        <w:pStyle w:val="Compact"/>
        <w:numPr>
          <w:ilvl w:val="0"/>
          <w:numId w:val="1008"/>
        </w:numPr>
      </w:pPr>
      <w:r>
        <w:t xml:space="preserve">Assumptions</w:t>
      </w:r>
    </w:p>
    <w:p>
      <w:pPr>
        <w:pStyle w:val="Compact"/>
        <w:numPr>
          <w:ilvl w:val="0"/>
          <w:numId w:val="1008"/>
        </w:numPr>
      </w:pPr>
      <w:r>
        <w:t xml:space="preserve">Outdated Records</w:t>
      </w:r>
    </w:p>
    <w:p>
      <w:pPr>
        <w:pStyle w:val="Compact"/>
        <w:numPr>
          <w:ilvl w:val="0"/>
          <w:numId w:val="1008"/>
        </w:numPr>
      </w:pPr>
      <w:r>
        <w:t xml:space="preserve">Unverifiable Claims</w:t>
      </w:r>
    </w:p>
    <w:p>
      <w:r>
        <w:pict>
          <v:rect style="width:0;height:1.5pt" o:hralign="center" o:hrstd="t" o:hr="t"/>
        </w:pict>
      </w:r>
    </w:p>
    <w:bookmarkEnd w:id="46"/>
    <w:bookmarkStart w:id="47" w:name="validation-rule"/>
    <w:p>
      <w:pPr>
        <w:pStyle w:val="Heading2"/>
      </w:pPr>
      <w:r>
        <w:t xml:space="preserve">14.4 Validation Rule</w:t>
      </w:r>
    </w:p>
    <w:p>
      <w:pPr>
        <w:pStyle w:val="FirstParagraph"/>
      </w:pPr>
      <w:r>
        <w:t xml:space="preserve">Invalid evidence shall be rejected.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apter-15"/>
    <w:p>
      <w:pPr>
        <w:pStyle w:val="Heading1"/>
      </w:pPr>
      <w:r>
        <w:t xml:space="preserve">CHAPTER 15</w:t>
      </w:r>
    </w:p>
    <w:bookmarkEnd w:id="49"/>
    <w:bookmarkStart w:id="59" w:name="audit-documentation-requirements"/>
    <w:p>
      <w:pPr>
        <w:pStyle w:val="Heading1"/>
      </w:pPr>
      <w:r>
        <w:t xml:space="preserve">AUDIT DOCUMENTATION REQUIREMENTS</w:t>
      </w:r>
    </w:p>
    <w:bookmarkStart w:id="50" w:name="purpose-4"/>
    <w:p>
      <w:pPr>
        <w:pStyle w:val="Heading2"/>
      </w:pPr>
      <w:r>
        <w:t xml:space="preserve">15.1 Purpose</w:t>
      </w:r>
    </w:p>
    <w:p>
      <w:pPr>
        <w:pStyle w:val="FirstParagraph"/>
      </w:pPr>
      <w:r>
        <w:t xml:space="preserve">Audit activities shall be documented.</w:t>
      </w:r>
    </w:p>
    <w:p>
      <w:r>
        <w:pict>
          <v:rect style="width:0;height:1.5pt" o:hralign="center" o:hrstd="t" o:hr="t"/>
        </w:pict>
      </w:r>
    </w:p>
    <w:bookmarkEnd w:id="50"/>
    <w:bookmarkStart w:id="57" w:name="required-documents"/>
    <w:p>
      <w:pPr>
        <w:pStyle w:val="Heading2"/>
      </w:pPr>
      <w:r>
        <w:t xml:space="preserve">15.2 Required Documents</w:t>
      </w:r>
    </w:p>
    <w:bookmarkStart w:id="51" w:name="audit-plan"/>
    <w:p>
      <w:pPr>
        <w:pStyle w:val="Heading3"/>
      </w:pPr>
      <w:r>
        <w:t xml:space="preserve">Audit Plan</w:t>
      </w:r>
    </w:p>
    <w:p>
      <w:r>
        <w:pict>
          <v:rect style="width:0;height:1.5pt" o:hralign="center" o:hrstd="t" o:hr="t"/>
        </w:pict>
      </w:r>
    </w:p>
    <w:bookmarkEnd w:id="51"/>
    <w:bookmarkStart w:id="52" w:name="evidence-register"/>
    <w:p>
      <w:pPr>
        <w:pStyle w:val="Heading3"/>
      </w:pPr>
      <w:r>
        <w:t xml:space="preserve">Evidence Register</w:t>
      </w:r>
    </w:p>
    <w:p>
      <w:r>
        <w:pict>
          <v:rect style="width:0;height:1.5pt" o:hralign="center" o:hrstd="t" o:hr="t"/>
        </w:pict>
      </w:r>
    </w:p>
    <w:bookmarkEnd w:id="52"/>
    <w:bookmarkStart w:id="53" w:name="findings-register"/>
    <w:p>
      <w:pPr>
        <w:pStyle w:val="Heading3"/>
      </w:pPr>
      <w:r>
        <w:t xml:space="preserve">Findings Register</w:t>
      </w:r>
    </w:p>
    <w:p>
      <w:r>
        <w:pict>
          <v:rect style="width:0;height:1.5pt" o:hralign="center" o:hrstd="t" o:hr="t"/>
        </w:pict>
      </w:r>
    </w:p>
    <w:bookmarkEnd w:id="53"/>
    <w:bookmarkStart w:id="54" w:name="recommendation-register"/>
    <w:p>
      <w:pPr>
        <w:pStyle w:val="Heading3"/>
      </w:pPr>
      <w:r>
        <w:t xml:space="preserve">Recommendation Register</w:t>
      </w:r>
    </w:p>
    <w:p>
      <w:r>
        <w:pict>
          <v:rect style="width:0;height:1.5pt" o:hralign="center" o:hrstd="t" o:hr="t"/>
        </w:pict>
      </w:r>
    </w:p>
    <w:bookmarkEnd w:id="54"/>
    <w:bookmarkStart w:id="55" w:name="audit-report"/>
    <w:p>
      <w:pPr>
        <w:pStyle w:val="Heading3"/>
      </w:pPr>
      <w:r>
        <w:t xml:space="preserve">Audit Report</w:t>
      </w:r>
    </w:p>
    <w:p>
      <w:r>
        <w:pict>
          <v:rect style="width:0;height:1.5pt" o:hralign="center" o:hrstd="t" o:hr="t"/>
        </w:pict>
      </w:r>
    </w:p>
    <w:bookmarkEnd w:id="55"/>
    <w:bookmarkStart w:id="56" w:name="approval-record"/>
    <w:p>
      <w:pPr>
        <w:pStyle w:val="Heading3"/>
      </w:pPr>
      <w:r>
        <w:t xml:space="preserve">Approval Record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ocumentation-rule"/>
    <w:p>
      <w:pPr>
        <w:pStyle w:val="Heading2"/>
      </w:pPr>
      <w:r>
        <w:t xml:space="preserve">15.3 Documentation Rule</w:t>
      </w:r>
    </w:p>
    <w:p>
      <w:pPr>
        <w:pStyle w:val="FirstParagraph"/>
      </w:pPr>
      <w:r>
        <w:t xml:space="preserve">Undocumented audits are considered invalid.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hapter-16"/>
    <w:p>
      <w:pPr>
        <w:pStyle w:val="Heading1"/>
      </w:pPr>
      <w:r>
        <w:t xml:space="preserve">CHAPTER 16</w:t>
      </w:r>
    </w:p>
    <w:bookmarkEnd w:id="60"/>
    <w:bookmarkStart w:id="64" w:name="audit-traceability-framework"/>
    <w:p>
      <w:pPr>
        <w:pStyle w:val="Heading1"/>
      </w:pPr>
      <w:r>
        <w:t xml:space="preserve">AUDIT TRACEABILITY FRAMEWORK</w:t>
      </w:r>
    </w:p>
    <w:bookmarkStart w:id="61" w:name="purpose-5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Every audit conclusion must be traceable.</w:t>
      </w:r>
    </w:p>
    <w:p>
      <w:r>
        <w:pict>
          <v:rect style="width:0;height:1.5pt" o:hralign="center" o:hrstd="t" o:hr="t"/>
        </w:pict>
      </w:r>
    </w:p>
    <w:bookmarkEnd w:id="61"/>
    <w:bookmarkStart w:id="62" w:name="traceability-chain"/>
    <w:p>
      <w:pPr>
        <w:pStyle w:val="Heading2"/>
      </w:pPr>
      <w:r>
        <w:t xml:space="preserve">16.2 Traceability Chain</w:t>
      </w:r>
    </w:p>
    <w:p>
      <w:pPr>
        <w:pStyle w:val="FirstParagraph"/>
      </w:pPr>
      <w:r>
        <w:t xml:space="preserve">Requirement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</w:t>
      </w:r>
    </w:p>
    <w:p>
      <w:r>
        <w:pict>
          <v:rect style="width:0;height:1.5pt" o:hralign="center" o:hrstd="t" o:hr="t"/>
        </w:pict>
      </w:r>
    </w:p>
    <w:bookmarkEnd w:id="62"/>
    <w:bookmarkStart w:id="63" w:name="traceability-rule"/>
    <w:p>
      <w:pPr>
        <w:pStyle w:val="Heading2"/>
      </w:pPr>
      <w:r>
        <w:t xml:space="preserve">16.3 Traceability Rule</w:t>
      </w:r>
    </w:p>
    <w:p>
      <w:pPr>
        <w:pStyle w:val="FirstParagraph"/>
      </w:pPr>
      <w:r>
        <w:t xml:space="preserve">Broken traceability chains are prohibited.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hapter-17"/>
    <w:p>
      <w:pPr>
        <w:pStyle w:val="Heading1"/>
      </w:pPr>
      <w:r>
        <w:t xml:space="preserve">CHAPTER 17</w:t>
      </w:r>
    </w:p>
    <w:bookmarkEnd w:id="65"/>
    <w:bookmarkStart w:id="69" w:name="audit-record-management"/>
    <w:p>
      <w:pPr>
        <w:pStyle w:val="Heading1"/>
      </w:pPr>
      <w:r>
        <w:t xml:space="preserve">AUDIT RECORD MANAGEMENT</w:t>
      </w:r>
    </w:p>
    <w:bookmarkStart w:id="66" w:name="purpose-6"/>
    <w:p>
      <w:pPr>
        <w:pStyle w:val="Heading2"/>
      </w:pPr>
      <w:r>
        <w:t xml:space="preserve">17.1 Purpose</w:t>
      </w:r>
    </w:p>
    <w:p>
      <w:pPr>
        <w:pStyle w:val="FirstParagraph"/>
      </w:pPr>
      <w:r>
        <w:t xml:space="preserve">Audit records constitute enterprise assets.</w:t>
      </w:r>
    </w:p>
    <w:p>
      <w:r>
        <w:pict>
          <v:rect style="width:0;height:1.5pt" o:hralign="center" o:hrstd="t" o:hr="t"/>
        </w:pict>
      </w:r>
    </w:p>
    <w:bookmarkEnd w:id="66"/>
    <w:bookmarkStart w:id="67" w:name="record-requirements"/>
    <w:p>
      <w:pPr>
        <w:pStyle w:val="Heading2"/>
      </w:pPr>
      <w:r>
        <w:t xml:space="preserve">17.2 Record Requirements</w:t>
      </w:r>
    </w:p>
    <w:p>
      <w:pPr>
        <w:pStyle w:val="FirstParagraph"/>
      </w:pPr>
      <w:r>
        <w:t xml:space="preserve">Records shall support:</w:t>
      </w:r>
    </w:p>
    <w:p>
      <w:pPr>
        <w:pStyle w:val="Compact"/>
        <w:numPr>
          <w:ilvl w:val="0"/>
          <w:numId w:val="1009"/>
        </w:numPr>
      </w:pPr>
      <w:r>
        <w:t xml:space="preserve">Retrieval</w:t>
      </w:r>
    </w:p>
    <w:p>
      <w:pPr>
        <w:pStyle w:val="Compact"/>
        <w:numPr>
          <w:ilvl w:val="0"/>
          <w:numId w:val="1009"/>
        </w:numPr>
      </w:pPr>
      <w:r>
        <w:t xml:space="preserve">Review</w:t>
      </w:r>
    </w:p>
    <w:p>
      <w:pPr>
        <w:pStyle w:val="Compact"/>
        <w:numPr>
          <w:ilvl w:val="0"/>
          <w:numId w:val="1009"/>
        </w:numPr>
      </w:pPr>
      <w:r>
        <w:t xml:space="preserve">Compliance</w:t>
      </w:r>
    </w:p>
    <w:p>
      <w:pPr>
        <w:pStyle w:val="Compact"/>
        <w:numPr>
          <w:ilvl w:val="0"/>
          <w:numId w:val="1009"/>
        </w:numPr>
      </w:pPr>
      <w:r>
        <w:t xml:space="preserve">Historical Analysis</w:t>
      </w:r>
    </w:p>
    <w:p>
      <w:r>
        <w:pict>
          <v:rect style="width:0;height:1.5pt" o:hralign="center" o:hrstd="t" o:hr="t"/>
        </w:pict>
      </w:r>
    </w:p>
    <w:bookmarkEnd w:id="67"/>
    <w:bookmarkStart w:id="68" w:name="retention-requirements"/>
    <w:p>
      <w:pPr>
        <w:pStyle w:val="Heading2"/>
      </w:pPr>
      <w:r>
        <w:t xml:space="preserve">17.3 Retention Requirements</w:t>
      </w:r>
    </w:p>
    <w:p>
      <w:pPr>
        <w:pStyle w:val="FirstParagraph"/>
      </w:pPr>
      <w:r>
        <w:t xml:space="preserve">Audit records shall be retained according to governance policies.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hapter-18"/>
    <w:p>
      <w:pPr>
        <w:pStyle w:val="Heading1"/>
      </w:pPr>
      <w:r>
        <w:t xml:space="preserve">CHAPTER 18</w:t>
      </w:r>
    </w:p>
    <w:bookmarkEnd w:id="70"/>
    <w:bookmarkStart w:id="79" w:name="evidence-confidence-model"/>
    <w:p>
      <w:pPr>
        <w:pStyle w:val="Heading1"/>
      </w:pPr>
      <w:r>
        <w:t xml:space="preserve">EVIDENCE CONFIDENCE MODEL</w:t>
      </w:r>
    </w:p>
    <w:bookmarkStart w:id="71" w:name="purpose-7"/>
    <w:p>
      <w:pPr>
        <w:pStyle w:val="Heading2"/>
      </w:pPr>
      <w:r>
        <w:t xml:space="preserve">18.1 Purpose</w:t>
      </w:r>
    </w:p>
    <w:p>
      <w:pPr>
        <w:pStyle w:val="FirstParagraph"/>
      </w:pPr>
      <w:r>
        <w:t xml:space="preserve">Evidence confidence shall be assessed.</w:t>
      </w:r>
    </w:p>
    <w:p>
      <w:r>
        <w:pict>
          <v:rect style="width:0;height:1.5pt" o:hralign="center" o:hrstd="t" o:hr="t"/>
        </w:pict>
      </w:r>
    </w:p>
    <w:bookmarkEnd w:id="71"/>
    <w:bookmarkStart w:id="77" w:name="confidence-levels"/>
    <w:p>
      <w:pPr>
        <w:pStyle w:val="Heading2"/>
      </w:pPr>
      <w:r>
        <w:t xml:space="preserve">18.2 Confidence Levels</w:t>
      </w:r>
    </w:p>
    <w:bookmarkStart w:id="72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Low Confidence</w:t>
      </w:r>
    </w:p>
    <w:p>
      <w:r>
        <w:pict>
          <v:rect style="width:0;height:1.5pt" o:hralign="center" o:hrstd="t" o:hr="t"/>
        </w:pict>
      </w:r>
    </w:p>
    <w:bookmarkEnd w:id="72"/>
    <w:bookmarkStart w:id="73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Moderate Confidence</w:t>
      </w:r>
    </w:p>
    <w:p>
      <w:r>
        <w:pict>
          <v:rect style="width:0;height:1.5pt" o:hralign="center" o:hrstd="t" o:hr="t"/>
        </w:pict>
      </w:r>
    </w:p>
    <w:bookmarkEnd w:id="73"/>
    <w:bookmarkStart w:id="74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High Confidence</w:t>
      </w:r>
    </w:p>
    <w:p>
      <w:r>
        <w:pict>
          <v:rect style="width:0;height:1.5pt" o:hralign="center" o:hrstd="t" o:hr="t"/>
        </w:pict>
      </w:r>
    </w:p>
    <w:bookmarkEnd w:id="74"/>
    <w:bookmarkStart w:id="75" w:name="level-4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Verified Confidence</w:t>
      </w:r>
    </w:p>
    <w:p>
      <w:r>
        <w:pict>
          <v:rect style="width:0;height:1.5pt" o:hralign="center" o:hrstd="t" o:hr="t"/>
        </w:pict>
      </w:r>
    </w:p>
    <w:bookmarkEnd w:id="75"/>
    <w:bookmarkStart w:id="76" w:name="level-5"/>
    <w:p>
      <w:pPr>
        <w:pStyle w:val="Heading3"/>
      </w:pPr>
      <w:r>
        <w:t xml:space="preserve">Level 5</w:t>
      </w:r>
    </w:p>
    <w:p>
      <w:pPr>
        <w:pStyle w:val="FirstParagraph"/>
      </w:pPr>
      <w:r>
        <w:t xml:space="preserve">Certified Confidence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udit-rule"/>
    <w:p>
      <w:pPr>
        <w:pStyle w:val="Heading2"/>
      </w:pPr>
      <w:r>
        <w:t xml:space="preserve">18.3 Audit Rule</w:t>
      </w:r>
    </w:p>
    <w:p>
      <w:pPr>
        <w:pStyle w:val="FirstParagraph"/>
      </w:pPr>
      <w:r>
        <w:t xml:space="preserve">Critical findings require High Confidence or higher.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art-2-completion-statement"/>
    <w:p>
      <w:pPr>
        <w:pStyle w:val="Heading1"/>
      </w:pPr>
      <w:r>
        <w:t xml:space="preserve">PART 2 COMPLETION STATEMENT</w:t>
      </w:r>
    </w:p>
    <w:p>
      <w:pPr>
        <w:pStyle w:val="FirstParagraph"/>
      </w:pPr>
      <w:r>
        <w:t xml:space="preserve">Volume IV – Part 2 establishes:</w:t>
      </w:r>
    </w:p>
    <w:p>
      <w:pPr>
        <w:pStyle w:val="Compact"/>
        <w:numPr>
          <w:ilvl w:val="0"/>
          <w:numId w:val="1010"/>
        </w:numPr>
      </w:pPr>
      <w:r>
        <w:t xml:space="preserve">Audit Evidence Framework</w:t>
      </w:r>
    </w:p>
    <w:p>
      <w:pPr>
        <w:pStyle w:val="Compact"/>
        <w:numPr>
          <w:ilvl w:val="0"/>
          <w:numId w:val="1010"/>
        </w:numPr>
      </w:pPr>
      <w:r>
        <w:t xml:space="preserve">Evidence Classification Model</w:t>
      </w:r>
    </w:p>
    <w:p>
      <w:pPr>
        <w:pStyle w:val="Compact"/>
        <w:numPr>
          <w:ilvl w:val="0"/>
          <w:numId w:val="1010"/>
        </w:numPr>
      </w:pPr>
      <w:r>
        <w:t xml:space="preserve">Evidence Collection Procedures</w:t>
      </w:r>
    </w:p>
    <w:p>
      <w:pPr>
        <w:pStyle w:val="Compact"/>
        <w:numPr>
          <w:ilvl w:val="0"/>
          <w:numId w:val="1010"/>
        </w:numPr>
      </w:pPr>
      <w:r>
        <w:t xml:space="preserve">Evidence Validation Standards</w:t>
      </w:r>
    </w:p>
    <w:p>
      <w:pPr>
        <w:pStyle w:val="Compact"/>
        <w:numPr>
          <w:ilvl w:val="0"/>
          <w:numId w:val="1010"/>
        </w:numPr>
      </w:pPr>
      <w:r>
        <w:t xml:space="preserve">Audit Documentation Requirements</w:t>
      </w:r>
    </w:p>
    <w:p>
      <w:pPr>
        <w:pStyle w:val="Compact"/>
        <w:numPr>
          <w:ilvl w:val="0"/>
          <w:numId w:val="1010"/>
        </w:numPr>
      </w:pPr>
      <w:r>
        <w:t xml:space="preserve">Audit Traceability Framework</w:t>
      </w:r>
    </w:p>
    <w:p>
      <w:pPr>
        <w:pStyle w:val="Compact"/>
        <w:numPr>
          <w:ilvl w:val="0"/>
          <w:numId w:val="1010"/>
        </w:numPr>
      </w:pPr>
      <w:r>
        <w:t xml:space="preserve">Audit Record Management</w:t>
      </w:r>
    </w:p>
    <w:p>
      <w:pPr>
        <w:pStyle w:val="Compact"/>
        <w:numPr>
          <w:ilvl w:val="0"/>
          <w:numId w:val="1010"/>
        </w:numPr>
      </w:pPr>
      <w:r>
        <w:t xml:space="preserve">Evidence Confidence Model</w:t>
      </w:r>
    </w:p>
    <w:p>
      <w:pPr>
        <w:pStyle w:val="FirstParagraph"/>
      </w:pPr>
      <w:r>
        <w:t xml:space="preserve">These structures establish the evidentiary foundation required for enterprise-grade auditing.</w:t>
      </w:r>
    </w:p>
    <w:p>
      <w:r>
        <w:pict>
          <v:rect style="width:0;height:1.5pt" o:hralign="center" o:hrstd="t" o:hr="t"/>
        </w:pict>
      </w:r>
    </w:p>
    <w:bookmarkEnd w:id="80"/>
    <w:bookmarkStart w:id="81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IV – Part 3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11"/>
        </w:numPr>
      </w:pPr>
      <w:r>
        <w:t xml:space="preserve">Audit Findings Framework</w:t>
      </w:r>
    </w:p>
    <w:p>
      <w:pPr>
        <w:pStyle w:val="Compact"/>
        <w:numPr>
          <w:ilvl w:val="0"/>
          <w:numId w:val="1011"/>
        </w:numPr>
      </w:pPr>
      <w:r>
        <w:t xml:space="preserve">Gap Analysis Methodology</w:t>
      </w:r>
    </w:p>
    <w:p>
      <w:pPr>
        <w:pStyle w:val="Compact"/>
        <w:numPr>
          <w:ilvl w:val="0"/>
          <w:numId w:val="1011"/>
        </w:numPr>
      </w:pPr>
      <w:r>
        <w:t xml:space="preserve">Root Cause Analysis Model</w:t>
      </w:r>
    </w:p>
    <w:p>
      <w:pPr>
        <w:pStyle w:val="Compact"/>
        <w:numPr>
          <w:ilvl w:val="0"/>
          <w:numId w:val="1011"/>
        </w:numPr>
      </w:pPr>
      <w:r>
        <w:t xml:space="preserve">Recommendation Framework</w:t>
      </w:r>
    </w:p>
    <w:p>
      <w:pPr>
        <w:pStyle w:val="Compact"/>
        <w:numPr>
          <w:ilvl w:val="0"/>
          <w:numId w:val="1011"/>
        </w:numPr>
      </w:pPr>
      <w:r>
        <w:t xml:space="preserve">Remediation Framework</w:t>
      </w:r>
    </w:p>
    <w:p>
      <w:pPr>
        <w:pStyle w:val="Compact"/>
        <w:numPr>
          <w:ilvl w:val="0"/>
          <w:numId w:val="1011"/>
        </w:numPr>
      </w:pPr>
      <w:r>
        <w:t xml:space="preserve">Corrective Action Lifecycle</w:t>
      </w:r>
    </w:p>
    <w:p>
      <w:pPr>
        <w:pStyle w:val="Compact"/>
        <w:numPr>
          <w:ilvl w:val="0"/>
          <w:numId w:val="1011"/>
        </w:numPr>
      </w:pPr>
      <w:r>
        <w:t xml:space="preserve">Audit Escalation Model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2026-06-10T09:40:39Z</dcterms:created>
  <dcterms:modified xsi:type="dcterms:W3CDTF">2026-06-10T09:40:39Z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