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v-mandatory-stage-audit-protocol"/>
    <w:p>
      <w:pPr>
        <w:pStyle w:val="Heading3"/>
      </w:pPr>
      <w:r>
        <w:t xml:space="preserve">Volume IV – Mandatory Stage Audit Protocol</w:t>
      </w:r>
    </w:p>
    <w:bookmarkEnd w:id="20"/>
    <w:bookmarkStart w:id="21" w:name="part-4"/>
    <w:p>
      <w:pPr>
        <w:pStyle w:val="Heading3"/>
      </w:pPr>
      <w:r>
        <w:t xml:space="preserve">Part 4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Governance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Audit Office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27"/>
    <w:p>
      <w:pPr>
        <w:pStyle w:val="Heading1"/>
      </w:pPr>
      <w:r>
        <w:t xml:space="preserve">CHAPTER 27</w:t>
      </w:r>
    </w:p>
    <w:bookmarkEnd w:id="24"/>
    <w:bookmarkStart w:id="35" w:name="audit-scoring-framework"/>
    <w:p>
      <w:pPr>
        <w:pStyle w:val="Heading1"/>
      </w:pPr>
      <w:r>
        <w:t xml:space="preserve">AUDIT SCORING FRAMEWORK</w:t>
      </w:r>
    </w:p>
    <w:bookmarkStart w:id="25" w:name="purpose"/>
    <w:p>
      <w:pPr>
        <w:pStyle w:val="Heading2"/>
      </w:pPr>
      <w:r>
        <w:t xml:space="preserve">27.1 Purpose</w:t>
      </w:r>
    </w:p>
    <w:p>
      <w:pPr>
        <w:pStyle w:val="FirstParagraph"/>
      </w:pPr>
      <w:r>
        <w:t xml:space="preserve">Audit results shall be quantified using a standardized scoring model.</w:t>
      </w:r>
    </w:p>
    <w:p>
      <w:r>
        <w:pict>
          <v:rect style="width:0;height:1.5pt" o:hralign="center" o:hrstd="t" o:hr="t"/>
        </w:pict>
      </w:r>
    </w:p>
    <w:bookmarkEnd w:id="25"/>
    <w:bookmarkStart w:id="26" w:name="scoring-objectives"/>
    <w:p>
      <w:pPr>
        <w:pStyle w:val="Heading2"/>
      </w:pPr>
      <w:r>
        <w:t xml:space="preserve">27.2 Scoring 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1"/>
        </w:numPr>
      </w:pPr>
      <w:r>
        <w:t xml:space="preserve">Consistency</w:t>
      </w:r>
    </w:p>
    <w:p>
      <w:pPr>
        <w:pStyle w:val="Compact"/>
        <w:numPr>
          <w:ilvl w:val="0"/>
          <w:numId w:val="1001"/>
        </w:numPr>
      </w:pPr>
      <w:r>
        <w:t xml:space="preserve">Comparability</w:t>
      </w:r>
    </w:p>
    <w:p>
      <w:pPr>
        <w:pStyle w:val="Compact"/>
        <w:numPr>
          <w:ilvl w:val="0"/>
          <w:numId w:val="1001"/>
        </w:numPr>
      </w:pPr>
      <w:r>
        <w:t xml:space="preserve">Decision Making</w:t>
      </w:r>
    </w:p>
    <w:p>
      <w:pPr>
        <w:pStyle w:val="Compact"/>
        <w:numPr>
          <w:ilvl w:val="0"/>
          <w:numId w:val="1001"/>
        </w:numPr>
      </w:pPr>
      <w:r>
        <w:t xml:space="preserve">Certification Readiness</w:t>
      </w:r>
    </w:p>
    <w:p>
      <w:r>
        <w:pict>
          <v:rect style="width:0;height:1.5pt" o:hralign="center" o:hrstd="t" o:hr="t"/>
        </w:pict>
      </w:r>
    </w:p>
    <w:bookmarkEnd w:id="26"/>
    <w:bookmarkStart w:id="33" w:name="scoring-domains"/>
    <w:p>
      <w:pPr>
        <w:pStyle w:val="Heading2"/>
      </w:pPr>
      <w:r>
        <w:t xml:space="preserve">27.3 Scoring Domains</w:t>
      </w:r>
    </w:p>
    <w:bookmarkStart w:id="27" w:name="functional-score"/>
    <w:p>
      <w:pPr>
        <w:pStyle w:val="Heading3"/>
      </w:pPr>
      <w:r>
        <w:t xml:space="preserve">Functional Score</w:t>
      </w:r>
    </w:p>
    <w:p>
      <w:r>
        <w:pict>
          <v:rect style="width:0;height:1.5pt" o:hralign="center" o:hrstd="t" o:hr="t"/>
        </w:pict>
      </w:r>
    </w:p>
    <w:bookmarkEnd w:id="27"/>
    <w:bookmarkStart w:id="28" w:name="quality-score"/>
    <w:p>
      <w:pPr>
        <w:pStyle w:val="Heading3"/>
      </w:pPr>
      <w:r>
        <w:t xml:space="preserve">Quality Score</w:t>
      </w:r>
    </w:p>
    <w:p>
      <w:r>
        <w:pict>
          <v:rect style="width:0;height:1.5pt" o:hralign="center" o:hrstd="t" o:hr="t"/>
        </w:pict>
      </w:r>
    </w:p>
    <w:bookmarkEnd w:id="28"/>
    <w:bookmarkStart w:id="29" w:name="performance-score"/>
    <w:p>
      <w:pPr>
        <w:pStyle w:val="Heading3"/>
      </w:pPr>
      <w:r>
        <w:t xml:space="preserve">Performance Score</w:t>
      </w:r>
    </w:p>
    <w:p>
      <w:r>
        <w:pict>
          <v:rect style="width:0;height:1.5pt" o:hralign="center" o:hrstd="t" o:hr="t"/>
        </w:pict>
      </w:r>
    </w:p>
    <w:bookmarkEnd w:id="29"/>
    <w:bookmarkStart w:id="30" w:name="governance-score"/>
    <w:p>
      <w:pPr>
        <w:pStyle w:val="Heading3"/>
      </w:pPr>
      <w:r>
        <w:t xml:space="preserve">Governance Score</w:t>
      </w:r>
    </w:p>
    <w:p>
      <w:r>
        <w:pict>
          <v:rect style="width:0;height:1.5pt" o:hralign="center" o:hrstd="t" o:hr="t"/>
        </w:pict>
      </w:r>
    </w:p>
    <w:bookmarkEnd w:id="30"/>
    <w:bookmarkStart w:id="31" w:name="security-score"/>
    <w:p>
      <w:pPr>
        <w:pStyle w:val="Heading3"/>
      </w:pPr>
      <w:r>
        <w:t xml:space="preserve">Security Score</w:t>
      </w:r>
    </w:p>
    <w:p>
      <w:r>
        <w:pict>
          <v:rect style="width:0;height:1.5pt" o:hralign="center" o:hrstd="t" o:hr="t"/>
        </w:pict>
      </w:r>
    </w:p>
    <w:bookmarkEnd w:id="31"/>
    <w:bookmarkStart w:id="32" w:name="commercial-score"/>
    <w:p>
      <w:pPr>
        <w:pStyle w:val="Heading3"/>
      </w:pPr>
      <w:r>
        <w:t xml:space="preserve">Commercial Score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mposite-audit-score"/>
    <w:p>
      <w:pPr>
        <w:pStyle w:val="Heading2"/>
      </w:pPr>
      <w:r>
        <w:t xml:space="preserve">27.4 Composite Audit Score</w:t>
      </w:r>
    </w:p>
    <w:p>
      <w:pPr>
        <w:pStyle w:val="FirstParagraph"/>
      </w:pPr>
      <w:r>
        <w:t xml:space="preserve">Final Audit Score shall represent aggregate enterprise readiness.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hapter-28"/>
    <w:p>
      <w:pPr>
        <w:pStyle w:val="Heading1"/>
      </w:pPr>
      <w:r>
        <w:t xml:space="preserve">CHAPTER 28</w:t>
      </w:r>
    </w:p>
    <w:bookmarkEnd w:id="36"/>
    <w:bookmarkStart w:id="44" w:name="audit-maturity-assessment-model"/>
    <w:p>
      <w:pPr>
        <w:pStyle w:val="Heading1"/>
      </w:pPr>
      <w:r>
        <w:t xml:space="preserve">AUDIT MATURITY ASSESSMENT MODEL</w:t>
      </w:r>
    </w:p>
    <w:bookmarkStart w:id="37" w:name="purpose-1"/>
    <w:p>
      <w:pPr>
        <w:pStyle w:val="Heading2"/>
      </w:pPr>
      <w:r>
        <w:t xml:space="preserve">28.1 Purpose</w:t>
      </w:r>
    </w:p>
    <w:p>
      <w:pPr>
        <w:pStyle w:val="FirstParagraph"/>
      </w:pPr>
      <w:r>
        <w:t xml:space="preserve">Evaluate stage audit maturity.</w:t>
      </w:r>
    </w:p>
    <w:p>
      <w:r>
        <w:pict>
          <v:rect style="width:0;height:1.5pt" o:hralign="center" o:hrstd="t" o:hr="t"/>
        </w:pict>
      </w:r>
    </w:p>
    <w:bookmarkEnd w:id="37"/>
    <w:bookmarkStart w:id="38" w:name="level-1"/>
    <w:p>
      <w:pPr>
        <w:pStyle w:val="Heading2"/>
      </w:pPr>
      <w:r>
        <w:t xml:space="preserve">Level 1</w:t>
      </w:r>
    </w:p>
    <w:p>
      <w:pPr>
        <w:pStyle w:val="FirstParagraph"/>
      </w:pPr>
      <w:r>
        <w:t xml:space="preserve">Reactive</w:t>
      </w:r>
    </w:p>
    <w:p>
      <w:r>
        <w:pict>
          <v:rect style="width:0;height:1.5pt" o:hralign="center" o:hrstd="t" o:hr="t"/>
        </w:pict>
      </w:r>
    </w:p>
    <w:bookmarkEnd w:id="38"/>
    <w:bookmarkStart w:id="39" w:name="level-2"/>
    <w:p>
      <w:pPr>
        <w:pStyle w:val="Heading2"/>
      </w:pPr>
      <w:r>
        <w:t xml:space="preserve">Level 2</w:t>
      </w:r>
    </w:p>
    <w:p>
      <w:pPr>
        <w:pStyle w:val="FirstParagraph"/>
      </w:pPr>
      <w:r>
        <w:t xml:space="preserve">Controlled</w:t>
      </w:r>
    </w:p>
    <w:p>
      <w:r>
        <w:pict>
          <v:rect style="width:0;height:1.5pt" o:hralign="center" o:hrstd="t" o:hr="t"/>
        </w:pict>
      </w:r>
    </w:p>
    <w:bookmarkEnd w:id="39"/>
    <w:bookmarkStart w:id="40" w:name="level-3"/>
    <w:p>
      <w:pPr>
        <w:pStyle w:val="Heading2"/>
      </w:pPr>
      <w:r>
        <w:t xml:space="preserve">Level 3</w:t>
      </w:r>
    </w:p>
    <w:p>
      <w:pPr>
        <w:pStyle w:val="FirstParagraph"/>
      </w:pPr>
      <w:r>
        <w:t xml:space="preserve">Standardized</w:t>
      </w:r>
    </w:p>
    <w:p>
      <w:r>
        <w:pict>
          <v:rect style="width:0;height:1.5pt" o:hralign="center" o:hrstd="t" o:hr="t"/>
        </w:pict>
      </w:r>
    </w:p>
    <w:bookmarkEnd w:id="40"/>
    <w:bookmarkStart w:id="41" w:name="level-4"/>
    <w:p>
      <w:pPr>
        <w:pStyle w:val="Heading2"/>
      </w:pPr>
      <w:r>
        <w:t xml:space="preserve">Level 4</w:t>
      </w:r>
    </w:p>
    <w:p>
      <w:pPr>
        <w:pStyle w:val="FirstParagraph"/>
      </w:pPr>
      <w:r>
        <w:t xml:space="preserve">Measured</w:t>
      </w:r>
    </w:p>
    <w:p>
      <w:r>
        <w:pict>
          <v:rect style="width:0;height:1.5pt" o:hralign="center" o:hrstd="t" o:hr="t"/>
        </w:pict>
      </w:r>
    </w:p>
    <w:bookmarkEnd w:id="41"/>
    <w:bookmarkStart w:id="42" w:name="level-5"/>
    <w:p>
      <w:pPr>
        <w:pStyle w:val="Heading2"/>
      </w:pPr>
      <w:r>
        <w:t xml:space="preserve">Level 5</w:t>
      </w:r>
    </w:p>
    <w:p>
      <w:pPr>
        <w:pStyle w:val="FirstParagraph"/>
      </w:pPr>
      <w:r>
        <w:t xml:space="preserve">Optimized</w:t>
      </w:r>
    </w:p>
    <w:p>
      <w:r>
        <w:pict>
          <v:rect style="width:0;height:1.5pt" o:hralign="center" o:hrstd="t" o:hr="t"/>
        </w:pict>
      </w:r>
    </w:p>
    <w:bookmarkEnd w:id="42"/>
    <w:bookmarkStart w:id="43" w:name="assessment-rule"/>
    <w:p>
      <w:pPr>
        <w:pStyle w:val="Heading2"/>
      </w:pPr>
      <w:r>
        <w:t xml:space="preserve">28.2 Assessment Rule</w:t>
      </w:r>
    </w:p>
    <w:p>
      <w:pPr>
        <w:pStyle w:val="FirstParagraph"/>
      </w:pPr>
      <w:r>
        <w:t xml:space="preserve">Certification targets Level 4 or higher.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hapter-29"/>
    <w:p>
      <w:pPr>
        <w:pStyle w:val="Heading1"/>
      </w:pPr>
      <w:r>
        <w:t xml:space="preserve">CHAPTER 29</w:t>
      </w:r>
    </w:p>
    <w:bookmarkEnd w:id="45"/>
    <w:bookmarkStart w:id="54" w:name="audit-approval-matrix"/>
    <w:p>
      <w:pPr>
        <w:pStyle w:val="Heading1"/>
      </w:pPr>
      <w:r>
        <w:t xml:space="preserve">AUDIT APPROVAL MATRIX</w:t>
      </w:r>
    </w:p>
    <w:bookmarkStart w:id="46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approval authority.</w:t>
      </w:r>
    </w:p>
    <w:p>
      <w:r>
        <w:pict>
          <v:rect style="width:0;height:1.5pt" o:hralign="center" o:hrstd="t" o:hr="t"/>
        </w:pict>
      </w:r>
    </w:p>
    <w:bookmarkEnd w:id="46"/>
    <w:bookmarkStart w:id="52" w:name="approval-categories"/>
    <w:p>
      <w:pPr>
        <w:pStyle w:val="Heading2"/>
      </w:pPr>
      <w:r>
        <w:t xml:space="preserve">Approval Categories</w:t>
      </w:r>
    </w:p>
    <w:bookmarkStart w:id="47" w:name="operational-approval"/>
    <w:p>
      <w:pPr>
        <w:pStyle w:val="Heading3"/>
      </w:pPr>
      <w:r>
        <w:t xml:space="preserve">Operational Approval</w:t>
      </w:r>
    </w:p>
    <w:p>
      <w:r>
        <w:pict>
          <v:rect style="width:0;height:1.5pt" o:hralign="center" o:hrstd="t" o:hr="t"/>
        </w:pict>
      </w:r>
    </w:p>
    <w:bookmarkEnd w:id="47"/>
    <w:bookmarkStart w:id="48" w:name="technical-approval"/>
    <w:p>
      <w:pPr>
        <w:pStyle w:val="Heading3"/>
      </w:pPr>
      <w:r>
        <w:t xml:space="preserve">Technical Approval</w:t>
      </w:r>
    </w:p>
    <w:p>
      <w:r>
        <w:pict>
          <v:rect style="width:0;height:1.5pt" o:hralign="center" o:hrstd="t" o:hr="t"/>
        </w:pict>
      </w:r>
    </w:p>
    <w:bookmarkEnd w:id="48"/>
    <w:bookmarkStart w:id="49" w:name="governance-approval"/>
    <w:p>
      <w:pPr>
        <w:pStyle w:val="Heading3"/>
      </w:pPr>
      <w:r>
        <w:t xml:space="preserve">Governance Approval</w:t>
      </w:r>
    </w:p>
    <w:p>
      <w:r>
        <w:pict>
          <v:rect style="width:0;height:1.5pt" o:hralign="center" o:hrstd="t" o:hr="t"/>
        </w:pict>
      </w:r>
    </w:p>
    <w:bookmarkEnd w:id="49"/>
    <w:bookmarkStart w:id="50" w:name="certification-approval"/>
    <w:p>
      <w:pPr>
        <w:pStyle w:val="Heading3"/>
      </w:pPr>
      <w:r>
        <w:t xml:space="preserve">Certification Approval</w:t>
      </w:r>
    </w:p>
    <w:p>
      <w:r>
        <w:pict>
          <v:rect style="width:0;height:1.5pt" o:hralign="center" o:hrstd="t" o:hr="t"/>
        </w:pict>
      </w:r>
    </w:p>
    <w:bookmarkEnd w:id="50"/>
    <w:bookmarkStart w:id="51" w:name="executive-approval"/>
    <w:p>
      <w:pPr>
        <w:pStyle w:val="Heading3"/>
      </w:pPr>
      <w:r>
        <w:t xml:space="preserve">Executive Approval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Required approvals must be documented.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hapter-30"/>
    <w:p>
      <w:pPr>
        <w:pStyle w:val="Heading1"/>
      </w:pPr>
      <w:r>
        <w:t xml:space="preserve">CHAPTER 30</w:t>
      </w:r>
    </w:p>
    <w:bookmarkEnd w:id="55"/>
    <w:bookmarkStart w:id="63" w:name="audit-decision-authority"/>
    <w:p>
      <w:pPr>
        <w:pStyle w:val="Heading1"/>
      </w:pPr>
      <w:r>
        <w:t xml:space="preserve">AUDIT DECISION AUTHORITY</w:t>
      </w:r>
    </w:p>
    <w:bookmarkStart w:id="56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Establish final audit authority.</w:t>
      </w:r>
    </w:p>
    <w:p>
      <w:r>
        <w:pict>
          <v:rect style="width:0;height:1.5pt" o:hralign="center" o:hrstd="t" o:hr="t"/>
        </w:pict>
      </w:r>
    </w:p>
    <w:bookmarkEnd w:id="56"/>
    <w:bookmarkStart w:id="61" w:name="authority-levels"/>
    <w:p>
      <w:pPr>
        <w:pStyle w:val="Heading2"/>
      </w:pPr>
      <w:r>
        <w:t xml:space="preserve">Authority Levels</w:t>
      </w:r>
    </w:p>
    <w:bookmarkStart w:id="57" w:name="audit-lead"/>
    <w:p>
      <w:pPr>
        <w:pStyle w:val="Heading3"/>
      </w:pPr>
      <w:r>
        <w:t xml:space="preserve">Audit Lead</w:t>
      </w:r>
    </w:p>
    <w:p>
      <w:r>
        <w:pict>
          <v:rect style="width:0;height:1.5pt" o:hralign="center" o:hrstd="t" o:hr="t"/>
        </w:pict>
      </w:r>
    </w:p>
    <w:bookmarkEnd w:id="57"/>
    <w:bookmarkStart w:id="58" w:name="governance-authority"/>
    <w:p>
      <w:pPr>
        <w:pStyle w:val="Heading3"/>
      </w:pPr>
      <w:r>
        <w:t xml:space="preserve">Governance Authority</w:t>
      </w:r>
    </w:p>
    <w:p>
      <w:r>
        <w:pict>
          <v:rect style="width:0;height:1.5pt" o:hralign="center" o:hrstd="t" o:hr="t"/>
        </w:pict>
      </w:r>
    </w:p>
    <w:bookmarkEnd w:id="58"/>
    <w:bookmarkStart w:id="59" w:name="certification-authority"/>
    <w:p>
      <w:pPr>
        <w:pStyle w:val="Heading3"/>
      </w:pPr>
      <w:r>
        <w:t xml:space="preserve">Certification Authority</w:t>
      </w:r>
    </w:p>
    <w:p>
      <w:r>
        <w:pict>
          <v:rect style="width:0;height:1.5pt" o:hralign="center" o:hrstd="t" o:hr="t"/>
        </w:pict>
      </w:r>
    </w:p>
    <w:bookmarkEnd w:id="59"/>
    <w:bookmarkStart w:id="60" w:name="executive-authority"/>
    <w:p>
      <w:pPr>
        <w:pStyle w:val="Heading3"/>
      </w:pPr>
      <w:r>
        <w:t xml:space="preserve">Executive Authority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decision-rule"/>
    <w:p>
      <w:pPr>
        <w:pStyle w:val="Heading2"/>
      </w:pPr>
      <w:r>
        <w:t xml:space="preserve">Decision Rule</w:t>
      </w:r>
    </w:p>
    <w:p>
      <w:pPr>
        <w:pStyle w:val="FirstParagraph"/>
      </w:pPr>
      <w:r>
        <w:t xml:space="preserve">Authority level shall match audit impact.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hapter-31"/>
    <w:p>
      <w:pPr>
        <w:pStyle w:val="Heading1"/>
      </w:pPr>
      <w:r>
        <w:t xml:space="preserve">CHAPTER 31</w:t>
      </w:r>
    </w:p>
    <w:bookmarkEnd w:id="64"/>
    <w:bookmarkStart w:id="68" w:name="audit-closure-procedures"/>
    <w:p>
      <w:pPr>
        <w:pStyle w:val="Heading1"/>
      </w:pPr>
      <w:r>
        <w:t xml:space="preserve">AUDIT CLOSURE PROCEDURES</w:t>
      </w:r>
    </w:p>
    <w:bookmarkStart w:id="65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Ensure audits are formally completed.</w:t>
      </w:r>
    </w:p>
    <w:p>
      <w:r>
        <w:pict>
          <v:rect style="width:0;height:1.5pt" o:hralign="center" o:hrstd="t" o:hr="t"/>
        </w:pict>
      </w:r>
    </w:p>
    <w:bookmarkEnd w:id="65"/>
    <w:bookmarkStart w:id="66" w:name="closure-requirements"/>
    <w:p>
      <w:pPr>
        <w:pStyle w:val="Heading2"/>
      </w:pPr>
      <w:r>
        <w:t xml:space="preserve">Closure Requirements</w:t>
      </w:r>
    </w:p>
    <w:p>
      <w:pPr>
        <w:pStyle w:val="Compact"/>
        <w:numPr>
          <w:ilvl w:val="0"/>
          <w:numId w:val="1002"/>
        </w:numPr>
      </w:pPr>
      <w:r>
        <w:t xml:space="preserve">Findings Reviewed</w:t>
      </w:r>
    </w:p>
    <w:p>
      <w:pPr>
        <w:pStyle w:val="Compact"/>
        <w:numPr>
          <w:ilvl w:val="0"/>
          <w:numId w:val="1002"/>
        </w:numPr>
      </w:pPr>
      <w:r>
        <w:t xml:space="preserve">Actions Completed</w:t>
      </w:r>
    </w:p>
    <w:p>
      <w:pPr>
        <w:pStyle w:val="Compact"/>
        <w:numPr>
          <w:ilvl w:val="0"/>
          <w:numId w:val="1002"/>
        </w:numPr>
      </w:pPr>
      <w:r>
        <w:t xml:space="preserve">Evidence Verified</w:t>
      </w:r>
    </w:p>
    <w:p>
      <w:pPr>
        <w:pStyle w:val="Compact"/>
        <w:numPr>
          <w:ilvl w:val="0"/>
          <w:numId w:val="1002"/>
        </w:numPr>
      </w:pPr>
      <w:r>
        <w:t xml:space="preserve">Approval Granted</w:t>
      </w:r>
    </w:p>
    <w:p>
      <w:r>
        <w:pict>
          <v:rect style="width:0;height:1.5pt" o:hralign="center" o:hrstd="t" o:hr="t"/>
        </w:pict>
      </w:r>
    </w:p>
    <w:bookmarkEnd w:id="66"/>
    <w:bookmarkStart w:id="67" w:name="closure-lifecycle"/>
    <w:p>
      <w:pPr>
        <w:pStyle w:val="Heading2"/>
      </w:pPr>
      <w:r>
        <w:t xml:space="preserve">Closure Lifecycle</w:t>
      </w:r>
    </w:p>
    <w:p>
      <w:pPr>
        <w:pStyle w:val="FirstParagraph"/>
      </w:pPr>
      <w:r>
        <w:t xml:space="preserve">Completion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Closure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hapter-32"/>
    <w:p>
      <w:pPr>
        <w:pStyle w:val="Heading1"/>
      </w:pPr>
      <w:r>
        <w:t xml:space="preserve">CHAPTER 32</w:t>
      </w:r>
    </w:p>
    <w:bookmarkEnd w:id="69"/>
    <w:bookmarkStart w:id="73" w:name="audit-review-board-model"/>
    <w:p>
      <w:pPr>
        <w:pStyle w:val="Heading1"/>
      </w:pPr>
      <w:r>
        <w:t xml:space="preserve">AUDIT REVIEW BOARD MODEL</w:t>
      </w:r>
    </w:p>
    <w:bookmarkStart w:id="70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independent governance oversight.</w:t>
      </w:r>
    </w:p>
    <w:p>
      <w:r>
        <w:pict>
          <v:rect style="width:0;height:1.5pt" o:hralign="center" o:hrstd="t" o:hr="t"/>
        </w:pict>
      </w:r>
    </w:p>
    <w:bookmarkEnd w:id="70"/>
    <w:bookmarkStart w:id="71" w:name="board-responsibilities"/>
    <w:p>
      <w:pPr>
        <w:pStyle w:val="Heading2"/>
      </w:pPr>
      <w:r>
        <w:t xml:space="preserve">Board Responsibilities</w:t>
      </w:r>
    </w:p>
    <w:p>
      <w:pPr>
        <w:pStyle w:val="Compact"/>
        <w:numPr>
          <w:ilvl w:val="0"/>
          <w:numId w:val="1003"/>
        </w:numPr>
      </w:pPr>
      <w:r>
        <w:t xml:space="preserve">Audit Review</w:t>
      </w:r>
    </w:p>
    <w:p>
      <w:pPr>
        <w:pStyle w:val="Compact"/>
        <w:numPr>
          <w:ilvl w:val="0"/>
          <w:numId w:val="1003"/>
        </w:numPr>
      </w:pPr>
      <w:r>
        <w:t xml:space="preserve">Risk Assessment</w:t>
      </w:r>
    </w:p>
    <w:p>
      <w:pPr>
        <w:pStyle w:val="Compact"/>
        <w:numPr>
          <w:ilvl w:val="0"/>
          <w:numId w:val="1003"/>
        </w:numPr>
      </w:pPr>
      <w:r>
        <w:t xml:space="preserve">Escalation Decisions</w:t>
      </w:r>
    </w:p>
    <w:p>
      <w:pPr>
        <w:pStyle w:val="Compact"/>
        <w:numPr>
          <w:ilvl w:val="0"/>
          <w:numId w:val="1003"/>
        </w:numPr>
      </w:pPr>
      <w:r>
        <w:t xml:space="preserve">Certification Recommendations</w:t>
      </w:r>
    </w:p>
    <w:p>
      <w:r>
        <w:pict>
          <v:rect style="width:0;height:1.5pt" o:hralign="center" o:hrstd="t" o:hr="t"/>
        </w:pict>
      </w:r>
    </w:p>
    <w:bookmarkEnd w:id="71"/>
    <w:bookmarkStart w:id="72" w:name="board-rule"/>
    <w:p>
      <w:pPr>
        <w:pStyle w:val="Heading2"/>
      </w:pPr>
      <w:r>
        <w:t xml:space="preserve">Board Rule</w:t>
      </w:r>
    </w:p>
    <w:p>
      <w:pPr>
        <w:pStyle w:val="FirstParagraph"/>
      </w:pPr>
      <w:r>
        <w:t xml:space="preserve">Critical findings require board review.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chapter-33"/>
    <w:p>
      <w:pPr>
        <w:pStyle w:val="Heading1"/>
      </w:pPr>
      <w:r>
        <w:t xml:space="preserve">CHAPTER 33</w:t>
      </w:r>
    </w:p>
    <w:bookmarkEnd w:id="74"/>
    <w:bookmarkStart w:id="83" w:name="enterprise-audit-readiness-model"/>
    <w:p>
      <w:pPr>
        <w:pStyle w:val="Heading1"/>
      </w:pPr>
      <w:r>
        <w:t xml:space="preserve">ENTERPRISE AUDIT READINESS MODEL</w:t>
      </w:r>
    </w:p>
    <w:bookmarkStart w:id="75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Assess audit preparedness.</w:t>
      </w:r>
    </w:p>
    <w:p>
      <w:r>
        <w:pict>
          <v:rect style="width:0;height:1.5pt" o:hralign="center" o:hrstd="t" o:hr="t"/>
        </w:pict>
      </w:r>
    </w:p>
    <w:bookmarkEnd w:id="75"/>
    <w:bookmarkStart w:id="81" w:name="readiness-dimensions"/>
    <w:p>
      <w:pPr>
        <w:pStyle w:val="Heading2"/>
      </w:pPr>
      <w:r>
        <w:t xml:space="preserve">Readiness Dimensions</w:t>
      </w:r>
    </w:p>
    <w:bookmarkStart w:id="76" w:name="documentation-readiness"/>
    <w:p>
      <w:pPr>
        <w:pStyle w:val="Heading3"/>
      </w:pPr>
      <w:r>
        <w:t xml:space="preserve">Documentation Readiness</w:t>
      </w:r>
    </w:p>
    <w:p>
      <w:r>
        <w:pict>
          <v:rect style="width:0;height:1.5pt" o:hralign="center" o:hrstd="t" o:hr="t"/>
        </w:pict>
      </w:r>
    </w:p>
    <w:bookmarkEnd w:id="76"/>
    <w:bookmarkStart w:id="77" w:name="operational-readiness"/>
    <w:p>
      <w:pPr>
        <w:pStyle w:val="Heading3"/>
      </w:pPr>
      <w:r>
        <w:t xml:space="preserve">Operational Readiness</w:t>
      </w:r>
    </w:p>
    <w:p>
      <w:r>
        <w:pict>
          <v:rect style="width:0;height:1.5pt" o:hralign="center" o:hrstd="t" o:hr="t"/>
        </w:pict>
      </w:r>
    </w:p>
    <w:bookmarkEnd w:id="77"/>
    <w:bookmarkStart w:id="78" w:name="governance-readiness"/>
    <w:p>
      <w:pPr>
        <w:pStyle w:val="Heading3"/>
      </w:pPr>
      <w:r>
        <w:t xml:space="preserve">Governance Readiness</w:t>
      </w:r>
    </w:p>
    <w:p>
      <w:r>
        <w:pict>
          <v:rect style="width:0;height:1.5pt" o:hralign="center" o:hrstd="t" o:hr="t"/>
        </w:pict>
      </w:r>
    </w:p>
    <w:bookmarkEnd w:id="78"/>
    <w:bookmarkStart w:id="79" w:name="performance-readiness"/>
    <w:p>
      <w:pPr>
        <w:pStyle w:val="Heading3"/>
      </w:pPr>
      <w:r>
        <w:t xml:space="preserve">Performance Readiness</w:t>
      </w:r>
    </w:p>
    <w:p>
      <w:r>
        <w:pict>
          <v:rect style="width:0;height:1.5pt" o:hralign="center" o:hrstd="t" o:hr="t"/>
        </w:pict>
      </w:r>
    </w:p>
    <w:bookmarkEnd w:id="79"/>
    <w:bookmarkStart w:id="80" w:name="compliance-readiness"/>
    <w:p>
      <w:pPr>
        <w:pStyle w:val="Heading3"/>
      </w:pPr>
      <w:r>
        <w:t xml:space="preserve">Compliance Readiness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readiness-rule"/>
    <w:p>
      <w:pPr>
        <w:pStyle w:val="Heading2"/>
      </w:pPr>
      <w:r>
        <w:t xml:space="preserve">Readiness Rule</w:t>
      </w:r>
    </w:p>
    <w:p>
      <w:pPr>
        <w:pStyle w:val="FirstParagraph"/>
      </w:pPr>
      <w:r>
        <w:t xml:space="preserve">Incomplete readiness blocks audit entry.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part-4-completion-statement"/>
    <w:p>
      <w:pPr>
        <w:pStyle w:val="Heading1"/>
      </w:pPr>
      <w:r>
        <w:t xml:space="preserve">PART 4 COMPLETION STATEMENT</w:t>
      </w:r>
    </w:p>
    <w:p>
      <w:pPr>
        <w:pStyle w:val="FirstParagraph"/>
      </w:pPr>
      <w:r>
        <w:t xml:space="preserve">Volume IV – Part 4 establishes:</w:t>
      </w:r>
    </w:p>
    <w:p>
      <w:pPr>
        <w:pStyle w:val="Compact"/>
        <w:numPr>
          <w:ilvl w:val="0"/>
          <w:numId w:val="1004"/>
        </w:numPr>
      </w:pPr>
      <w:r>
        <w:t xml:space="preserve">Audit Scoring Framework</w:t>
      </w:r>
    </w:p>
    <w:p>
      <w:pPr>
        <w:pStyle w:val="Compact"/>
        <w:numPr>
          <w:ilvl w:val="0"/>
          <w:numId w:val="1004"/>
        </w:numPr>
      </w:pPr>
      <w:r>
        <w:t xml:space="preserve">Audit Maturity Assessment</w:t>
      </w:r>
    </w:p>
    <w:p>
      <w:pPr>
        <w:pStyle w:val="Compact"/>
        <w:numPr>
          <w:ilvl w:val="0"/>
          <w:numId w:val="1004"/>
        </w:numPr>
      </w:pPr>
      <w:r>
        <w:t xml:space="preserve">Audit Approval Matrix</w:t>
      </w:r>
    </w:p>
    <w:p>
      <w:pPr>
        <w:pStyle w:val="Compact"/>
        <w:numPr>
          <w:ilvl w:val="0"/>
          <w:numId w:val="1004"/>
        </w:numPr>
      </w:pPr>
      <w:r>
        <w:t xml:space="preserve">Audit Decision Authority</w:t>
      </w:r>
    </w:p>
    <w:p>
      <w:pPr>
        <w:pStyle w:val="Compact"/>
        <w:numPr>
          <w:ilvl w:val="0"/>
          <w:numId w:val="1004"/>
        </w:numPr>
      </w:pPr>
      <w:r>
        <w:t xml:space="preserve">Audit Closure Procedures</w:t>
      </w:r>
    </w:p>
    <w:p>
      <w:pPr>
        <w:pStyle w:val="Compact"/>
        <w:numPr>
          <w:ilvl w:val="0"/>
          <w:numId w:val="1004"/>
        </w:numPr>
      </w:pPr>
      <w:r>
        <w:t xml:space="preserve">Audit Review Board Model</w:t>
      </w:r>
    </w:p>
    <w:p>
      <w:pPr>
        <w:pStyle w:val="Compact"/>
        <w:numPr>
          <w:ilvl w:val="0"/>
          <w:numId w:val="1004"/>
        </w:numPr>
      </w:pPr>
      <w:r>
        <w:t xml:space="preserve">Enterprise Audit Readiness Model</w:t>
      </w:r>
    </w:p>
    <w:p>
      <w:pPr>
        <w:pStyle w:val="FirstParagraph"/>
      </w:pPr>
      <w:r>
        <w:t xml:space="preserve">These structures govern audit evaluation, approval, and closure.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2026-06-10T09:45:05Z</dcterms:created>
  <dcterms:modified xsi:type="dcterms:W3CDTF">2026-06-10T09:45:05Z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