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si-ultimate-enterprise"/>
    <w:p>
      <w:pPr>
        <w:pStyle w:val="Heading1"/>
      </w:pPr>
      <w:r>
        <w:t xml:space="preserve">CSI Ultimate Enterprise</w:t>
      </w:r>
    </w:p>
    <w:bookmarkStart w:id="20" w:name="official-enterprise-constitution"/>
    <w:p>
      <w:pPr>
        <w:pStyle w:val="Heading2"/>
      </w:pPr>
      <w:r>
        <w:t xml:space="preserve">Official Enterprise Constitution</w:t>
      </w:r>
    </w:p>
    <w:bookmarkEnd w:id="20"/>
    <w:bookmarkEnd w:id="21"/>
    <w:bookmarkStart w:id="23" w:name="volume-06-part-01"/>
    <w:p>
      <w:pPr>
        <w:pStyle w:val="Heading1"/>
      </w:pPr>
      <w:r>
        <w:t xml:space="preserve">Volume 06 (Part 01)</w:t>
      </w:r>
    </w:p>
    <w:bookmarkStart w:id="22" w:name="enterprise-standards"/>
    <w:p>
      <w:pPr>
        <w:pStyle w:val="Heading2"/>
      </w:pPr>
      <w:r>
        <w:t xml:space="preserve">Enterprise Standards</w:t>
      </w:r>
    </w:p>
    <w:p>
      <w:pPr>
        <w:pStyle w:val="FirstParagraph"/>
      </w:pPr>
      <w:r>
        <w:t xml:space="preserve">Version: 3.0</w:t>
      </w:r>
    </w:p>
    <w:p>
      <w:pPr>
        <w:pStyle w:val="BodyText"/>
      </w:pPr>
      <w:r>
        <w:t xml:space="preserve">Classification: Enterprise Standards Authority</w:t>
      </w:r>
    </w:p>
    <w:p>
      <w:pPr>
        <w:pStyle w:val="BodyText"/>
      </w:pPr>
      <w:r>
        <w:t xml:space="preserve">Status: Approved Draft</w:t>
      </w:r>
    </w:p>
    <w:p>
      <w:pPr>
        <w:pStyle w:val="BodyText"/>
      </w:pPr>
      <w:r>
        <w:t xml:space="preserve">Document Authority: Enterprise Standards Office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chapter-1"/>
    <w:p>
      <w:pPr>
        <w:pStyle w:val="Heading1"/>
      </w:pPr>
      <w:r>
        <w:t xml:space="preserve">CHAPTER 1</w:t>
      </w:r>
    </w:p>
    <w:bookmarkEnd w:id="24"/>
    <w:bookmarkStart w:id="28" w:name="enterprise-standards-foundation"/>
    <w:p>
      <w:pPr>
        <w:pStyle w:val="Heading1"/>
      </w:pPr>
      <w:r>
        <w:t xml:space="preserve">ENTERPRISE STANDARDS FOUNDATION</w:t>
      </w:r>
    </w:p>
    <w:bookmarkStart w:id="25" w:name="purpose"/>
    <w:p>
      <w:pPr>
        <w:pStyle w:val="Heading2"/>
      </w:pPr>
      <w:r>
        <w:t xml:space="preserve">1.1 Purpose</w:t>
      </w:r>
    </w:p>
    <w:p>
      <w:pPr>
        <w:pStyle w:val="FirstParagraph"/>
      </w:pPr>
      <w:r>
        <w:t xml:space="preserve">Enterprise Standards establish the mandatory rules governing all CSI development, operations, governance, and intelligence activities.</w:t>
      </w:r>
    </w:p>
    <w:p>
      <w:r>
        <w:pict>
          <v:rect style="width:0;height:1.5pt" o:hralign="center" o:hrstd="t" o:hr="t"/>
        </w:pict>
      </w:r>
    </w:p>
    <w:bookmarkEnd w:id="25"/>
    <w:bookmarkStart w:id="26" w:name="mission"/>
    <w:p>
      <w:pPr>
        <w:pStyle w:val="Heading2"/>
      </w:pPr>
      <w:r>
        <w:t xml:space="preserve">1.2 Mission</w:t>
      </w:r>
    </w:p>
    <w:p>
      <w:pPr>
        <w:pStyle w:val="FirstParagraph"/>
      </w:pPr>
      <w:r>
        <w:t xml:space="preserve">Ensure:</w:t>
      </w:r>
    </w:p>
    <w:p>
      <w:pPr>
        <w:pStyle w:val="Compact"/>
        <w:numPr>
          <w:ilvl w:val="0"/>
          <w:numId w:val="1001"/>
        </w:numPr>
      </w:pPr>
      <w:r>
        <w:t xml:space="preserve">Consistency</w:t>
      </w:r>
    </w:p>
    <w:p>
      <w:pPr>
        <w:pStyle w:val="Compact"/>
        <w:numPr>
          <w:ilvl w:val="0"/>
          <w:numId w:val="1001"/>
        </w:numPr>
      </w:pPr>
      <w:r>
        <w:t xml:space="preserve">Quality</w:t>
      </w:r>
    </w:p>
    <w:p>
      <w:pPr>
        <w:pStyle w:val="Compact"/>
        <w:numPr>
          <w:ilvl w:val="0"/>
          <w:numId w:val="1001"/>
        </w:numPr>
      </w:pPr>
      <w:r>
        <w:t xml:space="preserve">Maintainability</w:t>
      </w:r>
    </w:p>
    <w:p>
      <w:pPr>
        <w:pStyle w:val="Compact"/>
        <w:numPr>
          <w:ilvl w:val="0"/>
          <w:numId w:val="1001"/>
        </w:numPr>
      </w:pPr>
      <w:r>
        <w:t xml:space="preserve">Scalability</w:t>
      </w:r>
    </w:p>
    <w:p>
      <w:pPr>
        <w:pStyle w:val="Compact"/>
        <w:numPr>
          <w:ilvl w:val="0"/>
          <w:numId w:val="1001"/>
        </w:numPr>
      </w:pPr>
      <w:r>
        <w:t xml:space="preserve">Reliability</w:t>
      </w:r>
    </w:p>
    <w:p>
      <w:pPr>
        <w:pStyle w:val="FirstParagraph"/>
      </w:pPr>
      <w:r>
        <w:t xml:space="preserve">across all enterprise assets.</w:t>
      </w:r>
    </w:p>
    <w:p>
      <w:r>
        <w:pict>
          <v:rect style="width:0;height:1.5pt" o:hralign="center" o:hrstd="t" o:hr="t"/>
        </w:pict>
      </w:r>
    </w:p>
    <w:bookmarkEnd w:id="26"/>
    <w:bookmarkStart w:id="27" w:name="constitutional-rule"/>
    <w:p>
      <w:pPr>
        <w:pStyle w:val="Heading2"/>
      </w:pPr>
      <w:r>
        <w:t xml:space="preserve">1.3 Constitutional Rule</w:t>
      </w:r>
    </w:p>
    <w:p>
      <w:pPr>
        <w:pStyle w:val="FirstParagraph"/>
      </w:pPr>
      <w:r>
        <w:t xml:space="preserve">All CSI assets shall comply with enterprise standards.</w:t>
      </w:r>
    </w:p>
    <w:p>
      <w:pPr>
        <w:pStyle w:val="BodyText"/>
      </w:pPr>
      <w:r>
        <w:t xml:space="preserve">Compliance is mandatory.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chapter-2"/>
    <w:p>
      <w:pPr>
        <w:pStyle w:val="Heading1"/>
      </w:pPr>
      <w:r>
        <w:t xml:space="preserve">CHAPTER 2</w:t>
      </w:r>
    </w:p>
    <w:bookmarkEnd w:id="29"/>
    <w:bookmarkStart w:id="33" w:name="standards-governance-model"/>
    <w:p>
      <w:pPr>
        <w:pStyle w:val="Heading1"/>
      </w:pPr>
      <w:r>
        <w:t xml:space="preserve">STANDARDS GOVERNANCE MODEL</w:t>
      </w:r>
    </w:p>
    <w:bookmarkStart w:id="30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Provide centralized control of standards.</w:t>
      </w:r>
    </w:p>
    <w:p>
      <w:r>
        <w:pict>
          <v:rect style="width:0;height:1.5pt" o:hralign="center" o:hrstd="t" o:hr="t"/>
        </w:pict>
      </w:r>
    </w:p>
    <w:bookmarkEnd w:id="30"/>
    <w:bookmarkStart w:id="31" w:name="governance-objectives"/>
    <w:p>
      <w:pPr>
        <w:pStyle w:val="Heading2"/>
      </w:pPr>
      <w:r>
        <w:t xml:space="preserve">Governance Objectives</w:t>
      </w:r>
    </w:p>
    <w:p>
      <w:pPr>
        <w:pStyle w:val="Compact"/>
        <w:numPr>
          <w:ilvl w:val="0"/>
          <w:numId w:val="1002"/>
        </w:numPr>
      </w:pPr>
      <w:r>
        <w:t xml:space="preserve">Standardization</w:t>
      </w:r>
    </w:p>
    <w:p>
      <w:pPr>
        <w:pStyle w:val="Compact"/>
        <w:numPr>
          <w:ilvl w:val="0"/>
          <w:numId w:val="1002"/>
        </w:numPr>
      </w:pPr>
      <w:r>
        <w:t xml:space="preserve">Quality Assurance</w:t>
      </w:r>
    </w:p>
    <w:p>
      <w:pPr>
        <w:pStyle w:val="Compact"/>
        <w:numPr>
          <w:ilvl w:val="0"/>
          <w:numId w:val="1002"/>
        </w:numPr>
      </w:pPr>
      <w:r>
        <w:t xml:space="preserve">Compliance</w:t>
      </w:r>
    </w:p>
    <w:p>
      <w:pPr>
        <w:pStyle w:val="Compact"/>
        <w:numPr>
          <w:ilvl w:val="0"/>
          <w:numId w:val="1002"/>
        </w:numPr>
      </w:pPr>
      <w:r>
        <w:t xml:space="preserve">Continuous Improvement</w:t>
      </w:r>
    </w:p>
    <w:p>
      <w:r>
        <w:pict>
          <v:rect style="width:0;height:1.5pt" o:hralign="center" o:hrstd="t" o:hr="t"/>
        </w:pict>
      </w:r>
    </w:p>
    <w:bookmarkEnd w:id="31"/>
    <w:bookmarkStart w:id="32" w:name="governance-rule"/>
    <w:p>
      <w:pPr>
        <w:pStyle w:val="Heading2"/>
      </w:pPr>
      <w:r>
        <w:t xml:space="preserve">Governance Rule</w:t>
      </w:r>
    </w:p>
    <w:p>
      <w:pPr>
        <w:pStyle w:val="FirstParagraph"/>
      </w:pPr>
      <w:r>
        <w:t xml:space="preserve">Standards supersede individual preferences.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chapter-3"/>
    <w:p>
      <w:pPr>
        <w:pStyle w:val="Heading1"/>
      </w:pPr>
      <w:r>
        <w:t xml:space="preserve">CHAPTER 3</w:t>
      </w:r>
    </w:p>
    <w:bookmarkEnd w:id="34"/>
    <w:bookmarkStart w:id="40" w:name="enterprise-quality-principles"/>
    <w:p>
      <w:pPr>
        <w:pStyle w:val="Heading1"/>
      </w:pPr>
      <w:r>
        <w:t xml:space="preserve">ENTERPRISE QUALITY PRINCIPLES</w:t>
      </w:r>
    </w:p>
    <w:bookmarkStart w:id="35" w:name="principle-1"/>
    <w:p>
      <w:pPr>
        <w:pStyle w:val="Heading2"/>
      </w:pPr>
      <w:r>
        <w:t xml:space="preserve">Principle 1</w:t>
      </w:r>
    </w:p>
    <w:p>
      <w:pPr>
        <w:pStyle w:val="FirstParagraph"/>
      </w:pPr>
      <w:r>
        <w:t xml:space="preserve">Quality Before Speed</w:t>
      </w:r>
    </w:p>
    <w:p>
      <w:r>
        <w:pict>
          <v:rect style="width:0;height:1.5pt" o:hralign="center" o:hrstd="t" o:hr="t"/>
        </w:pict>
      </w:r>
    </w:p>
    <w:bookmarkEnd w:id="35"/>
    <w:bookmarkStart w:id="36" w:name="principle-2"/>
    <w:p>
      <w:pPr>
        <w:pStyle w:val="Heading2"/>
      </w:pPr>
      <w:r>
        <w:t xml:space="preserve">Principle 2</w:t>
      </w:r>
    </w:p>
    <w:p>
      <w:pPr>
        <w:pStyle w:val="FirstParagraph"/>
      </w:pPr>
      <w:r>
        <w:t xml:space="preserve">Maintainability Before Complexity</w:t>
      </w:r>
    </w:p>
    <w:p>
      <w:r>
        <w:pict>
          <v:rect style="width:0;height:1.5pt" o:hralign="center" o:hrstd="t" o:hr="t"/>
        </w:pict>
      </w:r>
    </w:p>
    <w:bookmarkEnd w:id="36"/>
    <w:bookmarkStart w:id="37" w:name="principle-3"/>
    <w:p>
      <w:pPr>
        <w:pStyle w:val="Heading2"/>
      </w:pPr>
      <w:r>
        <w:t xml:space="preserve">Principle 3</w:t>
      </w:r>
    </w:p>
    <w:p>
      <w:pPr>
        <w:pStyle w:val="FirstParagraph"/>
      </w:pPr>
      <w:r>
        <w:t xml:space="preserve">Evidence Before Assumptions</w:t>
      </w:r>
    </w:p>
    <w:p>
      <w:r>
        <w:pict>
          <v:rect style="width:0;height:1.5pt" o:hralign="center" o:hrstd="t" o:hr="t"/>
        </w:pict>
      </w:r>
    </w:p>
    <w:bookmarkEnd w:id="37"/>
    <w:bookmarkStart w:id="38" w:name="principle-4"/>
    <w:p>
      <w:pPr>
        <w:pStyle w:val="Heading2"/>
      </w:pPr>
      <w:r>
        <w:t xml:space="preserve">Principle 4</w:t>
      </w:r>
    </w:p>
    <w:p>
      <w:pPr>
        <w:pStyle w:val="FirstParagraph"/>
      </w:pPr>
      <w:r>
        <w:t xml:space="preserve">Automation Before Manual Intervention</w:t>
      </w:r>
    </w:p>
    <w:p>
      <w:r>
        <w:pict>
          <v:rect style="width:0;height:1.5pt" o:hralign="center" o:hrstd="t" o:hr="t"/>
        </w:pict>
      </w:r>
    </w:p>
    <w:bookmarkEnd w:id="38"/>
    <w:bookmarkStart w:id="39" w:name="principle-5"/>
    <w:p>
      <w:pPr>
        <w:pStyle w:val="Heading2"/>
      </w:pPr>
      <w:r>
        <w:t xml:space="preserve">Principle 5</w:t>
      </w:r>
    </w:p>
    <w:p>
      <w:pPr>
        <w:pStyle w:val="FirstParagraph"/>
      </w:pPr>
      <w:r>
        <w:t xml:space="preserve">Scalability By Design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chapter-4"/>
    <w:p>
      <w:pPr>
        <w:pStyle w:val="Heading1"/>
      </w:pPr>
      <w:r>
        <w:t xml:space="preserve">CHAPTER 4</w:t>
      </w:r>
    </w:p>
    <w:bookmarkEnd w:id="41"/>
    <w:bookmarkStart w:id="48" w:name="standard-classification-model"/>
    <w:p>
      <w:pPr>
        <w:pStyle w:val="Heading1"/>
      </w:pPr>
      <w:r>
        <w:t xml:space="preserve">STANDARD CLASSIFICATION MODEL</w:t>
      </w:r>
    </w:p>
    <w:bookmarkStart w:id="42" w:name="category-a"/>
    <w:p>
      <w:pPr>
        <w:pStyle w:val="Heading2"/>
      </w:pPr>
      <w:r>
        <w:t xml:space="preserve">Category A</w:t>
      </w:r>
    </w:p>
    <w:p>
      <w:pPr>
        <w:pStyle w:val="FirstParagraph"/>
      </w:pPr>
      <w:r>
        <w:t xml:space="preserve">Architecture Standards</w:t>
      </w:r>
    </w:p>
    <w:p>
      <w:r>
        <w:pict>
          <v:rect style="width:0;height:1.5pt" o:hralign="center" o:hrstd="t" o:hr="t"/>
        </w:pict>
      </w:r>
    </w:p>
    <w:bookmarkEnd w:id="42"/>
    <w:bookmarkStart w:id="43" w:name="category-b"/>
    <w:p>
      <w:pPr>
        <w:pStyle w:val="Heading2"/>
      </w:pPr>
      <w:r>
        <w:t xml:space="preserve">Category B</w:t>
      </w:r>
    </w:p>
    <w:p>
      <w:pPr>
        <w:pStyle w:val="FirstParagraph"/>
      </w:pPr>
      <w:r>
        <w:t xml:space="preserve">Development Standards</w:t>
      </w:r>
    </w:p>
    <w:p>
      <w:r>
        <w:pict>
          <v:rect style="width:0;height:1.5pt" o:hralign="center" o:hrstd="t" o:hr="t"/>
        </w:pict>
      </w:r>
    </w:p>
    <w:bookmarkEnd w:id="43"/>
    <w:bookmarkStart w:id="44" w:name="category-c"/>
    <w:p>
      <w:pPr>
        <w:pStyle w:val="Heading2"/>
      </w:pPr>
      <w:r>
        <w:t xml:space="preserve">Category C</w:t>
      </w:r>
    </w:p>
    <w:p>
      <w:pPr>
        <w:pStyle w:val="FirstParagraph"/>
      </w:pPr>
      <w:r>
        <w:t xml:space="preserve">Operational Standards</w:t>
      </w:r>
    </w:p>
    <w:p>
      <w:r>
        <w:pict>
          <v:rect style="width:0;height:1.5pt" o:hralign="center" o:hrstd="t" o:hr="t"/>
        </w:pict>
      </w:r>
    </w:p>
    <w:bookmarkEnd w:id="44"/>
    <w:bookmarkStart w:id="45" w:name="category-d"/>
    <w:p>
      <w:pPr>
        <w:pStyle w:val="Heading2"/>
      </w:pPr>
      <w:r>
        <w:t xml:space="preserve">Category D</w:t>
      </w:r>
    </w:p>
    <w:p>
      <w:pPr>
        <w:pStyle w:val="FirstParagraph"/>
      </w:pPr>
      <w:r>
        <w:t xml:space="preserve">Governance Standards</w:t>
      </w:r>
    </w:p>
    <w:p>
      <w:r>
        <w:pict>
          <v:rect style="width:0;height:1.5pt" o:hralign="center" o:hrstd="t" o:hr="t"/>
        </w:pict>
      </w:r>
    </w:p>
    <w:bookmarkEnd w:id="45"/>
    <w:bookmarkStart w:id="46" w:name="category-e"/>
    <w:p>
      <w:pPr>
        <w:pStyle w:val="Heading2"/>
      </w:pPr>
      <w:r>
        <w:t xml:space="preserve">Category E</w:t>
      </w:r>
    </w:p>
    <w:p>
      <w:pPr>
        <w:pStyle w:val="FirstParagraph"/>
      </w:pPr>
      <w:r>
        <w:t xml:space="preserve">Documentation Standards</w:t>
      </w:r>
    </w:p>
    <w:p>
      <w:r>
        <w:pict>
          <v:rect style="width:0;height:1.5pt" o:hralign="center" o:hrstd="t" o:hr="t"/>
        </w:pict>
      </w:r>
    </w:p>
    <w:bookmarkEnd w:id="46"/>
    <w:bookmarkStart w:id="47" w:name="category-f"/>
    <w:p>
      <w:pPr>
        <w:pStyle w:val="Heading2"/>
      </w:pPr>
      <w:r>
        <w:t xml:space="preserve">Category F</w:t>
      </w:r>
    </w:p>
    <w:p>
      <w:pPr>
        <w:pStyle w:val="FirstParagraph"/>
      </w:pPr>
      <w:r>
        <w:t xml:space="preserve">Security Standards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chapter-5"/>
    <w:p>
      <w:pPr>
        <w:pStyle w:val="Heading1"/>
      </w:pPr>
      <w:r>
        <w:t xml:space="preserve">CHAPTER 5</w:t>
      </w:r>
    </w:p>
    <w:bookmarkEnd w:id="49"/>
    <w:bookmarkStart w:id="57" w:name="compliance-model"/>
    <w:p>
      <w:pPr>
        <w:pStyle w:val="Heading1"/>
      </w:pPr>
      <w:r>
        <w:t xml:space="preserve">COMPLIANCE MODEL</w:t>
      </w:r>
    </w:p>
    <w:bookmarkStart w:id="50" w:name="purpose-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Measure adherence to standards.</w:t>
      </w:r>
    </w:p>
    <w:p>
      <w:r>
        <w:pict>
          <v:rect style="width:0;height:1.5pt" o:hralign="center" o:hrstd="t" o:hr="t"/>
        </w:pict>
      </w:r>
    </w:p>
    <w:bookmarkEnd w:id="50"/>
    <w:bookmarkStart w:id="56" w:name="compliance-levels"/>
    <w:p>
      <w:pPr>
        <w:pStyle w:val="Heading2"/>
      </w:pPr>
      <w:r>
        <w:t xml:space="preserve">Compliance Levels</w:t>
      </w:r>
    </w:p>
    <w:bookmarkStart w:id="51" w:name="non-compliant"/>
    <w:p>
      <w:pPr>
        <w:pStyle w:val="Heading3"/>
      </w:pPr>
      <w:r>
        <w:t xml:space="preserve">Non-Compliant</w:t>
      </w:r>
    </w:p>
    <w:p>
      <w:r>
        <w:pict>
          <v:rect style="width:0;height:1.5pt" o:hralign="center" o:hrstd="t" o:hr="t"/>
        </w:pict>
      </w:r>
    </w:p>
    <w:bookmarkEnd w:id="51"/>
    <w:bookmarkStart w:id="52" w:name="partially-compliant"/>
    <w:p>
      <w:pPr>
        <w:pStyle w:val="Heading3"/>
      </w:pPr>
      <w:r>
        <w:t xml:space="preserve">Partially Compliant</w:t>
      </w:r>
    </w:p>
    <w:p>
      <w:r>
        <w:pict>
          <v:rect style="width:0;height:1.5pt" o:hralign="center" o:hrstd="t" o:hr="t"/>
        </w:pict>
      </w:r>
    </w:p>
    <w:bookmarkEnd w:id="52"/>
    <w:bookmarkStart w:id="53" w:name="compliant"/>
    <w:p>
      <w:pPr>
        <w:pStyle w:val="Heading3"/>
      </w:pPr>
      <w:r>
        <w:t xml:space="preserve">Compliant</w:t>
      </w:r>
    </w:p>
    <w:p>
      <w:r>
        <w:pict>
          <v:rect style="width:0;height:1.5pt" o:hralign="center" o:hrstd="t" o:hr="t"/>
        </w:pict>
      </w:r>
    </w:p>
    <w:bookmarkEnd w:id="53"/>
    <w:bookmarkStart w:id="54" w:name="fully-compliant"/>
    <w:p>
      <w:pPr>
        <w:pStyle w:val="Heading3"/>
      </w:pPr>
      <w:r>
        <w:t xml:space="preserve">Fully Compliant</w:t>
      </w:r>
    </w:p>
    <w:p>
      <w:r>
        <w:pict>
          <v:rect style="width:0;height:1.5pt" o:hralign="center" o:hrstd="t" o:hr="t"/>
        </w:pict>
      </w:r>
    </w:p>
    <w:bookmarkEnd w:id="54"/>
    <w:bookmarkStart w:id="55" w:name="enterprise-exemplary"/>
    <w:p>
      <w:pPr>
        <w:pStyle w:val="Heading3"/>
      </w:pPr>
      <w:r>
        <w:t xml:space="preserve">Enterprise Exemplary</w:t>
      </w:r>
    </w:p>
    <w:p>
      <w:r>
        <w:pict>
          <v:rect style="width:0;height:1.5pt" o:hralign="center" o:hrstd="t" o:hr="t"/>
        </w:pict>
      </w:r>
    </w:p>
    <w:bookmarkEnd w:id="55"/>
    <w:bookmarkEnd w:id="56"/>
    <w:bookmarkEnd w:id="57"/>
    <w:bookmarkStart w:id="58" w:name="chapter-6"/>
    <w:p>
      <w:pPr>
        <w:pStyle w:val="Heading1"/>
      </w:pPr>
      <w:r>
        <w:t xml:space="preserve">CHAPTER 6</w:t>
      </w:r>
    </w:p>
    <w:bookmarkEnd w:id="58"/>
    <w:bookmarkStart w:id="59" w:name="standards-lifecycle"/>
    <w:p>
      <w:pPr>
        <w:pStyle w:val="Heading1"/>
      </w:pPr>
      <w:r>
        <w:t xml:space="preserve">STANDARDS LIFECYCLE</w:t>
      </w:r>
    </w:p>
    <w:p>
      <w:pPr>
        <w:pStyle w:val="FirstParagraph"/>
      </w:pPr>
      <w:r>
        <w:t xml:space="preserve">Standard Creation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Review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Approval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Publication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Implementation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Monitoring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Revision</w:t>
      </w:r>
    </w:p>
    <w:p>
      <w:r>
        <w:pict>
          <v:rect style="width:0;height:1.5pt" o:hralign="center" o:hrstd="t" o:hr="t"/>
        </w:pict>
      </w:r>
    </w:p>
    <w:bookmarkEnd w:id="59"/>
    <w:bookmarkStart w:id="60" w:name="part-1-completion-statement"/>
    <w:p>
      <w:pPr>
        <w:pStyle w:val="Heading1"/>
      </w:pPr>
      <w:r>
        <w:t xml:space="preserve">PART 1 COMPLETION STATEMENT</w:t>
      </w:r>
    </w:p>
    <w:p>
      <w:pPr>
        <w:pStyle w:val="FirstParagraph"/>
      </w:pPr>
      <w:r>
        <w:t xml:space="preserve">Volume 06 (Part 01) establishes:</w:t>
      </w:r>
    </w:p>
    <w:p>
      <w:pPr>
        <w:pStyle w:val="Compact"/>
        <w:numPr>
          <w:ilvl w:val="0"/>
          <w:numId w:val="1003"/>
        </w:numPr>
      </w:pPr>
      <w:r>
        <w:t xml:space="preserve">Enterprise Standards Foundation</w:t>
      </w:r>
    </w:p>
    <w:p>
      <w:pPr>
        <w:pStyle w:val="Compact"/>
        <w:numPr>
          <w:ilvl w:val="0"/>
          <w:numId w:val="1003"/>
        </w:numPr>
      </w:pPr>
      <w:r>
        <w:t xml:space="preserve">Standards Governance Model</w:t>
      </w:r>
    </w:p>
    <w:p>
      <w:pPr>
        <w:pStyle w:val="Compact"/>
        <w:numPr>
          <w:ilvl w:val="0"/>
          <w:numId w:val="1003"/>
        </w:numPr>
      </w:pPr>
      <w:r>
        <w:t xml:space="preserve">Enterprise Quality Principles</w:t>
      </w:r>
    </w:p>
    <w:p>
      <w:pPr>
        <w:pStyle w:val="Compact"/>
        <w:numPr>
          <w:ilvl w:val="0"/>
          <w:numId w:val="1003"/>
        </w:numPr>
      </w:pPr>
      <w:r>
        <w:t xml:space="preserve">Standards Classification Model</w:t>
      </w:r>
    </w:p>
    <w:p>
      <w:pPr>
        <w:pStyle w:val="Compact"/>
        <w:numPr>
          <w:ilvl w:val="0"/>
          <w:numId w:val="1003"/>
        </w:numPr>
      </w:pPr>
      <w:r>
        <w:t xml:space="preserve">Compliance Model</w:t>
      </w:r>
    </w:p>
    <w:p>
      <w:pPr>
        <w:pStyle w:val="Compact"/>
        <w:numPr>
          <w:ilvl w:val="0"/>
          <w:numId w:val="1003"/>
        </w:numPr>
      </w:pPr>
      <w:r>
        <w:t xml:space="preserve">Standards Lifecycle</w:t>
      </w:r>
    </w:p>
    <w:p>
      <w:r>
        <w:pict>
          <v:rect style="width:0;height:1.5pt" o:hralign="center" o:hrstd="t" o:hr="t"/>
        </w:pict>
      </w:r>
    </w:p>
    <w:bookmarkEnd w:id="60"/>
    <w:bookmarkStart w:id="61" w:name="next-section"/>
    <w:p>
      <w:pPr>
        <w:pStyle w:val="Heading1"/>
      </w:pPr>
      <w:r>
        <w:t xml:space="preserve">NEXT SECTION</w:t>
      </w:r>
    </w:p>
    <w:p>
      <w:pPr>
        <w:pStyle w:val="FirstParagraph"/>
      </w:pPr>
      <w:r>
        <w:t xml:space="preserve">Volume 06 (Part 02)</w:t>
      </w:r>
    </w:p>
    <w:p>
      <w:pPr>
        <w:pStyle w:val="BodyText"/>
      </w:pPr>
      <w:r>
        <w:t xml:space="preserve">Development Standards Framework</w:t>
      </w:r>
    </w:p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2026-06-10T10:11:10Z</dcterms:created>
  <dcterms:modified xsi:type="dcterms:W3CDTF">2026-06-10T10:11:10Z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