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6-part-03"/>
    <w:p>
      <w:pPr>
        <w:pStyle w:val="Heading1"/>
      </w:pPr>
      <w:r>
        <w:t xml:space="preserve">Volume 06 (Part 03)</w:t>
      </w:r>
    </w:p>
    <w:bookmarkStart w:id="22" w:name="enterprise-standards"/>
    <w:p>
      <w:pPr>
        <w:pStyle w:val="Heading2"/>
      </w:pPr>
      <w:r>
        <w:t xml:space="preserve">Enterprise Standards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Standards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3"/>
    <w:p>
      <w:pPr>
        <w:pStyle w:val="Heading1"/>
      </w:pPr>
      <w:r>
        <w:t xml:space="preserve">CHAPTER 13</w:t>
      </w:r>
    </w:p>
    <w:bookmarkEnd w:id="24"/>
    <w:bookmarkStart w:id="26" w:name="documentation-standards-framework"/>
    <w:p>
      <w:pPr>
        <w:pStyle w:val="Heading1"/>
      </w:pPr>
      <w:r>
        <w:t xml:space="preserve">DOCUMENTATION STANDARDS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documentation consistency.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14"/>
    <w:p>
      <w:pPr>
        <w:pStyle w:val="Heading1"/>
      </w:pPr>
      <w:r>
        <w:t xml:space="preserve">CHAPTER 14</w:t>
      </w:r>
    </w:p>
    <w:bookmarkEnd w:id="27"/>
    <w:bookmarkStart w:id="29" w:name="documentation-structure-standards"/>
    <w:p>
      <w:pPr>
        <w:pStyle w:val="Heading1"/>
      </w:pPr>
      <w:r>
        <w:t xml:space="preserve">DOCUMENTATION STRUCTURE STANDARDS</w:t>
      </w:r>
    </w:p>
    <w:bookmarkStart w:id="28" w:name="required-sections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t xml:space="preserve">Outputs</w:t>
      </w:r>
    </w:p>
    <w:p>
      <w:pPr>
        <w:pStyle w:val="Compact"/>
        <w:numPr>
          <w:ilvl w:val="0"/>
          <w:numId w:val="1001"/>
        </w:numPr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t xml:space="preserve">Procedures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15"/>
    <w:p>
      <w:pPr>
        <w:pStyle w:val="Heading1"/>
      </w:pPr>
      <w:r>
        <w:t xml:space="preserve">CHAPTER 15</w:t>
      </w:r>
    </w:p>
    <w:bookmarkEnd w:id="30"/>
    <w:bookmarkStart w:id="33" w:name="naming-convention-standards"/>
    <w:p>
      <w:pPr>
        <w:pStyle w:val="Heading1"/>
      </w:pPr>
      <w:r>
        <w:t xml:space="preserve">NAMING CONVENTION STANDARDS</w:t>
      </w:r>
    </w:p>
    <w:bookmarkStart w:id="31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Provide predictable naming.</w:t>
      </w:r>
    </w:p>
    <w:p>
      <w:r>
        <w:pict>
          <v:rect style="width:0;height:1.5pt" o:hralign="center" o:hrstd="t" o:hr="t"/>
        </w:pict>
      </w:r>
    </w:p>
    <w:bookmarkEnd w:id="31"/>
    <w:bookmarkStart w:id="32" w:name="naming-principles"/>
    <w:p>
      <w:pPr>
        <w:pStyle w:val="Heading2"/>
      </w:pPr>
      <w:r>
        <w:t xml:space="preserve">Naming Principles</w:t>
      </w:r>
    </w:p>
    <w:p>
      <w:pPr>
        <w:pStyle w:val="Compact"/>
        <w:numPr>
          <w:ilvl w:val="0"/>
          <w:numId w:val="1002"/>
        </w:numPr>
      </w:pPr>
      <w:r>
        <w:t xml:space="preserve">Consistent</w:t>
      </w:r>
    </w:p>
    <w:p>
      <w:pPr>
        <w:pStyle w:val="Compact"/>
        <w:numPr>
          <w:ilvl w:val="0"/>
          <w:numId w:val="1002"/>
        </w:numPr>
      </w:pPr>
      <w:r>
        <w:t xml:space="preserve">Descriptive</w:t>
      </w:r>
    </w:p>
    <w:p>
      <w:pPr>
        <w:pStyle w:val="Compact"/>
        <w:numPr>
          <w:ilvl w:val="0"/>
          <w:numId w:val="1002"/>
        </w:numPr>
      </w:pPr>
      <w:r>
        <w:t xml:space="preserve">Unique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apter-16"/>
    <w:p>
      <w:pPr>
        <w:pStyle w:val="Heading1"/>
      </w:pPr>
      <w:r>
        <w:t xml:space="preserve">CHAPTER 16</w:t>
      </w:r>
    </w:p>
    <w:bookmarkEnd w:id="34"/>
    <w:bookmarkStart w:id="36" w:name="change-log-standards"/>
    <w:p>
      <w:pPr>
        <w:pStyle w:val="Heading1"/>
      </w:pPr>
      <w:r>
        <w:t xml:space="preserve">CHANGE LOG STANDARDS</w:t>
      </w:r>
    </w:p>
    <w:bookmarkStart w:id="35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All changes shall be documented.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apter-17"/>
    <w:p>
      <w:pPr>
        <w:pStyle w:val="Heading1"/>
      </w:pPr>
      <w:r>
        <w:t xml:space="preserve">CHAPTER 17</w:t>
      </w:r>
    </w:p>
    <w:bookmarkEnd w:id="37"/>
    <w:bookmarkStart w:id="39" w:name="traceability-standards"/>
    <w:p>
      <w:pPr>
        <w:pStyle w:val="Heading1"/>
      </w:pPr>
      <w:r>
        <w:t xml:space="preserve">TRACEABILITY STANDARDS</w:t>
      </w:r>
    </w:p>
    <w:bookmarkStart w:id="38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All enterprise artifacts shall support traceability.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18"/>
    <w:p>
      <w:pPr>
        <w:pStyle w:val="Heading1"/>
      </w:pPr>
      <w:r>
        <w:t xml:space="preserve">CHAPTER 18</w:t>
      </w:r>
    </w:p>
    <w:bookmarkEnd w:id="40"/>
    <w:bookmarkStart w:id="42" w:name="document-review-standards"/>
    <w:p>
      <w:pPr>
        <w:pStyle w:val="Heading1"/>
      </w:pPr>
      <w:r>
        <w:t xml:space="preserve">DOCUMENT REVIEW STANDARDS</w:t>
      </w:r>
    </w:p>
    <w:bookmarkStart w:id="41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Documents shall undergo review before approval.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3-completion-statement"/>
    <w:p>
      <w:pPr>
        <w:pStyle w:val="Heading1"/>
      </w:pPr>
      <w:r>
        <w:t xml:space="preserve">PART 3 COMPLETION STATEMENT</w:t>
      </w:r>
    </w:p>
    <w:p>
      <w:pPr>
        <w:pStyle w:val="FirstParagraph"/>
      </w:pPr>
      <w:r>
        <w:t xml:space="preserve">Volume 06 (Part 03) establishes:</w:t>
      </w:r>
    </w:p>
    <w:p>
      <w:pPr>
        <w:pStyle w:val="Compact"/>
        <w:numPr>
          <w:ilvl w:val="0"/>
          <w:numId w:val="1003"/>
        </w:numPr>
      </w:pPr>
      <w:r>
        <w:t xml:space="preserve">Documentation Standards</w:t>
      </w:r>
    </w:p>
    <w:p>
      <w:pPr>
        <w:pStyle w:val="Compact"/>
        <w:numPr>
          <w:ilvl w:val="0"/>
          <w:numId w:val="1003"/>
        </w:numPr>
      </w:pPr>
      <w:r>
        <w:t xml:space="preserve">Naming Standards</w:t>
      </w:r>
    </w:p>
    <w:p>
      <w:pPr>
        <w:pStyle w:val="Compact"/>
        <w:numPr>
          <w:ilvl w:val="0"/>
          <w:numId w:val="1003"/>
        </w:numPr>
      </w:pPr>
      <w:r>
        <w:t xml:space="preserve">Change Log Standards</w:t>
      </w:r>
    </w:p>
    <w:p>
      <w:pPr>
        <w:pStyle w:val="Compact"/>
        <w:numPr>
          <w:ilvl w:val="0"/>
          <w:numId w:val="1003"/>
        </w:numPr>
      </w:pPr>
      <w:r>
        <w:t xml:space="preserve">Traceability Standards</w:t>
      </w:r>
    </w:p>
    <w:p>
      <w:pPr>
        <w:pStyle w:val="Compact"/>
        <w:numPr>
          <w:ilvl w:val="0"/>
          <w:numId w:val="1003"/>
        </w:numPr>
      </w:pPr>
      <w:r>
        <w:t xml:space="preserve">Review Standards</w:t>
      </w:r>
    </w:p>
    <w:p>
      <w:r>
        <w:pict>
          <v:rect style="width:0;height:1.5pt" o:hralign="center" o:hrstd="t" o:hr="t"/>
        </w:pict>
      </w:r>
    </w:p>
    <w:bookmarkEnd w:id="43"/>
    <w:bookmarkStart w:id="44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06 (Part 04)</w:t>
      </w:r>
    </w:p>
    <w:p>
      <w:pPr>
        <w:pStyle w:val="BodyText"/>
      </w:pPr>
      <w:r>
        <w:t xml:space="preserve">Operational Standards Framework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2026-06-10T10:11:47Z</dcterms:created>
  <dcterms:modified xsi:type="dcterms:W3CDTF">2026-06-10T10:11:47Z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