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csi-ultimate-enterprise"/>
    <w:p>
      <w:pPr>
        <w:pStyle w:val="Heading1"/>
      </w:pPr>
      <w:r>
        <w:t xml:space="preserve">CSI Ultimate Enterprise</w:t>
      </w:r>
    </w:p>
    <w:bookmarkStart w:id="20" w:name="official-enterprise-constitution"/>
    <w:p>
      <w:pPr>
        <w:pStyle w:val="Heading2"/>
      </w:pPr>
      <w:r>
        <w:t xml:space="preserve">Official Enterprise Constitution</w:t>
      </w:r>
    </w:p>
    <w:bookmarkEnd w:id="20"/>
    <w:bookmarkEnd w:id="21"/>
    <w:bookmarkStart w:id="23" w:name="volume-06-part-04"/>
    <w:p>
      <w:pPr>
        <w:pStyle w:val="Heading1"/>
      </w:pPr>
      <w:r>
        <w:t xml:space="preserve">Volume 06 (Part 04)</w:t>
      </w:r>
    </w:p>
    <w:bookmarkStart w:id="22" w:name="enterprise-standards"/>
    <w:p>
      <w:pPr>
        <w:pStyle w:val="Heading2"/>
      </w:pPr>
      <w:r>
        <w:t xml:space="preserve">Enterprise Standards</w:t>
      </w:r>
    </w:p>
    <w:p>
      <w:pPr>
        <w:pStyle w:val="FirstParagraph"/>
      </w:pPr>
      <w:r>
        <w:t xml:space="preserve">Version: 3.0</w:t>
      </w:r>
    </w:p>
    <w:p>
      <w:pPr>
        <w:pStyle w:val="BodyText"/>
      </w:pPr>
      <w:r>
        <w:t xml:space="preserve">Classification: Enterprise Standards Authority</w:t>
      </w:r>
    </w:p>
    <w:p>
      <w:pPr>
        <w:pStyle w:val="BodyText"/>
      </w:pPr>
      <w:r>
        <w:t xml:space="preserve">Status: Approved Draft</w:t>
      </w:r>
    </w:p>
    <w:p>
      <w:pPr>
        <w:pStyle w:val="BodyText"/>
      </w:pPr>
      <w:r>
        <w:t xml:space="preserve">Document Authority: Enterprise Standards Office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24" w:name="chapter-19"/>
    <w:p>
      <w:pPr>
        <w:pStyle w:val="Heading1"/>
      </w:pPr>
      <w:r>
        <w:t xml:space="preserve">CHAPTER 19</w:t>
      </w:r>
    </w:p>
    <w:bookmarkEnd w:id="24"/>
    <w:bookmarkStart w:id="28" w:name="operational-standards-framework"/>
    <w:p>
      <w:pPr>
        <w:pStyle w:val="Heading1"/>
      </w:pPr>
      <w:r>
        <w:t xml:space="preserve">OPERATIONAL STANDARDS FRAMEWORK</w:t>
      </w:r>
    </w:p>
    <w:bookmarkStart w:id="25" w:name="purpose"/>
    <w:p>
      <w:pPr>
        <w:pStyle w:val="Heading2"/>
      </w:pPr>
      <w:r>
        <w:t xml:space="preserve">19.1 Purpose</w:t>
      </w:r>
    </w:p>
    <w:p>
      <w:pPr>
        <w:pStyle w:val="FirstParagraph"/>
      </w:pPr>
      <w:r>
        <w:t xml:space="preserve">Operational Standards establish the mandatory requirements governing execution, monitoring, support, and operational reliability.</w:t>
      </w:r>
    </w:p>
    <w:p>
      <w:r>
        <w:pict>
          <v:rect style="width:0;height:1.5pt" o:hralign="center" o:hrstd="t" o:hr="t"/>
        </w:pict>
      </w:r>
    </w:p>
    <w:bookmarkEnd w:id="25"/>
    <w:bookmarkStart w:id="26" w:name="objectives"/>
    <w:p>
      <w:pPr>
        <w:pStyle w:val="Heading2"/>
      </w:pPr>
      <w:r>
        <w:t xml:space="preserve">19.2 Objectives</w:t>
      </w:r>
    </w:p>
    <w:p>
      <w:pPr>
        <w:pStyle w:val="FirstParagraph"/>
      </w:pPr>
      <w:r>
        <w:t xml:space="preserve">Ensure:</w:t>
      </w:r>
    </w:p>
    <w:p>
      <w:pPr>
        <w:pStyle w:val="Compact"/>
        <w:numPr>
          <w:ilvl w:val="0"/>
          <w:numId w:val="1001"/>
        </w:numPr>
      </w:pPr>
      <w:r>
        <w:t xml:space="preserve">Operational Stability</w:t>
      </w:r>
    </w:p>
    <w:p>
      <w:pPr>
        <w:pStyle w:val="Compact"/>
        <w:numPr>
          <w:ilvl w:val="0"/>
          <w:numId w:val="1001"/>
        </w:numPr>
      </w:pPr>
      <w:r>
        <w:t xml:space="preserve">Predictability</w:t>
      </w:r>
    </w:p>
    <w:p>
      <w:pPr>
        <w:pStyle w:val="Compact"/>
        <w:numPr>
          <w:ilvl w:val="0"/>
          <w:numId w:val="1001"/>
        </w:numPr>
      </w:pPr>
      <w:r>
        <w:t xml:space="preserve">Reliability</w:t>
      </w:r>
    </w:p>
    <w:p>
      <w:pPr>
        <w:pStyle w:val="Compact"/>
        <w:numPr>
          <w:ilvl w:val="0"/>
          <w:numId w:val="1001"/>
        </w:numPr>
      </w:pPr>
      <w:r>
        <w:t xml:space="preserve">Recoverability</w:t>
      </w:r>
    </w:p>
    <w:p>
      <w:pPr>
        <w:pStyle w:val="Compact"/>
        <w:numPr>
          <w:ilvl w:val="0"/>
          <w:numId w:val="1001"/>
        </w:numPr>
      </w:pPr>
      <w:r>
        <w:t xml:space="preserve">Observability</w:t>
      </w:r>
    </w:p>
    <w:p>
      <w:r>
        <w:pict>
          <v:rect style="width:0;height:1.5pt" o:hralign="center" o:hrstd="t" o:hr="t"/>
        </w:pict>
      </w:r>
    </w:p>
    <w:bookmarkEnd w:id="26"/>
    <w:bookmarkStart w:id="27" w:name="constitutional-rule"/>
    <w:p>
      <w:pPr>
        <w:pStyle w:val="Heading2"/>
      </w:pPr>
      <w:r>
        <w:t xml:space="preserve">19.3 Constitutional Rule</w:t>
      </w:r>
    </w:p>
    <w:p>
      <w:pPr>
        <w:pStyle w:val="FirstParagraph"/>
      </w:pPr>
      <w:r>
        <w:t xml:space="preserve">Operational consistency shall take precedence over operational convenience.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29" w:name="chapter-20"/>
    <w:p>
      <w:pPr>
        <w:pStyle w:val="Heading1"/>
      </w:pPr>
      <w:r>
        <w:t xml:space="preserve">CHAPTER 20</w:t>
      </w:r>
    </w:p>
    <w:bookmarkEnd w:id="29"/>
    <w:bookmarkStart w:id="32" w:name="monitoring-standards"/>
    <w:p>
      <w:pPr>
        <w:pStyle w:val="Heading1"/>
      </w:pPr>
      <w:r>
        <w:t xml:space="preserve">MONITORING STANDARDS</w:t>
      </w:r>
    </w:p>
    <w:bookmarkStart w:id="30" w:name="requirements"/>
    <w:p>
      <w:pPr>
        <w:pStyle w:val="Heading2"/>
      </w:pPr>
      <w:r>
        <w:t xml:space="preserve">Requirements</w:t>
      </w:r>
    </w:p>
    <w:p>
      <w:pPr>
        <w:pStyle w:val="FirstParagraph"/>
      </w:pPr>
      <w:r>
        <w:t xml:space="preserve">All enterprise services shall provide:</w:t>
      </w:r>
    </w:p>
    <w:p>
      <w:pPr>
        <w:pStyle w:val="Compact"/>
        <w:numPr>
          <w:ilvl w:val="0"/>
          <w:numId w:val="1002"/>
        </w:numPr>
      </w:pPr>
      <w:r>
        <w:t xml:space="preserve">Health Monitoring</w:t>
      </w:r>
    </w:p>
    <w:p>
      <w:pPr>
        <w:pStyle w:val="Compact"/>
        <w:numPr>
          <w:ilvl w:val="0"/>
          <w:numId w:val="1002"/>
        </w:numPr>
      </w:pPr>
      <w:r>
        <w:t xml:space="preserve">Performance Monitoring</w:t>
      </w:r>
    </w:p>
    <w:p>
      <w:pPr>
        <w:pStyle w:val="Compact"/>
        <w:numPr>
          <w:ilvl w:val="0"/>
          <w:numId w:val="1002"/>
        </w:numPr>
      </w:pPr>
      <w:r>
        <w:t xml:space="preserve">Error Monitoring</w:t>
      </w:r>
    </w:p>
    <w:p>
      <w:pPr>
        <w:pStyle w:val="Compact"/>
        <w:numPr>
          <w:ilvl w:val="0"/>
          <w:numId w:val="1002"/>
        </w:numPr>
      </w:pPr>
      <w:r>
        <w:t xml:space="preserve">Capacity Monitoring</w:t>
      </w:r>
    </w:p>
    <w:p>
      <w:r>
        <w:pict>
          <v:rect style="width:0;height:1.5pt" o:hralign="center" o:hrstd="t" o:hr="t"/>
        </w:pict>
      </w:r>
    </w:p>
    <w:bookmarkEnd w:id="30"/>
    <w:bookmarkStart w:id="31" w:name="monitoring-objectives"/>
    <w:p>
      <w:pPr>
        <w:pStyle w:val="Heading2"/>
      </w:pPr>
      <w:r>
        <w:t xml:space="preserve">Monitoring Objectives</w:t>
      </w:r>
    </w:p>
    <w:p>
      <w:pPr>
        <w:pStyle w:val="Compact"/>
        <w:numPr>
          <w:ilvl w:val="0"/>
          <w:numId w:val="1003"/>
        </w:numPr>
      </w:pPr>
      <w:r>
        <w:t xml:space="preserve">Early Detection</w:t>
      </w:r>
    </w:p>
    <w:p>
      <w:pPr>
        <w:pStyle w:val="Compact"/>
        <w:numPr>
          <w:ilvl w:val="0"/>
          <w:numId w:val="1003"/>
        </w:numPr>
      </w:pPr>
      <w:r>
        <w:t xml:space="preserve">Incident Prevention</w:t>
      </w:r>
    </w:p>
    <w:p>
      <w:pPr>
        <w:pStyle w:val="Compact"/>
        <w:numPr>
          <w:ilvl w:val="0"/>
          <w:numId w:val="1003"/>
        </w:numPr>
      </w:pPr>
      <w:r>
        <w:t xml:space="preserve">Performance Optimization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3" w:name="chapter-21"/>
    <w:p>
      <w:pPr>
        <w:pStyle w:val="Heading1"/>
      </w:pPr>
      <w:r>
        <w:t xml:space="preserve">CHAPTER 21</w:t>
      </w:r>
    </w:p>
    <w:bookmarkEnd w:id="33"/>
    <w:bookmarkStart w:id="40" w:name="logging-standards"/>
    <w:p>
      <w:pPr>
        <w:pStyle w:val="Heading1"/>
      </w:pPr>
      <w:r>
        <w:t xml:space="preserve">LOGGING STANDARDS</w:t>
      </w:r>
    </w:p>
    <w:bookmarkStart w:id="38" w:name="requirements-1"/>
    <w:p>
      <w:pPr>
        <w:pStyle w:val="Heading2"/>
      </w:pPr>
      <w:r>
        <w:t xml:space="preserve">Requirements</w:t>
      </w:r>
    </w:p>
    <w:p>
      <w:pPr>
        <w:pStyle w:val="FirstParagraph"/>
      </w:pPr>
      <w:r>
        <w:t xml:space="preserve">All systems shall generate:</w:t>
      </w:r>
    </w:p>
    <w:bookmarkStart w:id="34" w:name="operational-logs"/>
    <w:p>
      <w:pPr>
        <w:pStyle w:val="Heading3"/>
      </w:pPr>
      <w:r>
        <w:t xml:space="preserve">Operational Logs</w:t>
      </w:r>
    </w:p>
    <w:p>
      <w:r>
        <w:pict>
          <v:rect style="width:0;height:1.5pt" o:hralign="center" o:hrstd="t" o:hr="t"/>
        </w:pict>
      </w:r>
    </w:p>
    <w:bookmarkEnd w:id="34"/>
    <w:bookmarkStart w:id="35" w:name="application-logs"/>
    <w:p>
      <w:pPr>
        <w:pStyle w:val="Heading3"/>
      </w:pPr>
      <w:r>
        <w:t xml:space="preserve">Application Logs</w:t>
      </w:r>
    </w:p>
    <w:p>
      <w:r>
        <w:pict>
          <v:rect style="width:0;height:1.5pt" o:hralign="center" o:hrstd="t" o:hr="t"/>
        </w:pict>
      </w:r>
    </w:p>
    <w:bookmarkEnd w:id="35"/>
    <w:bookmarkStart w:id="36" w:name="security-logs"/>
    <w:p>
      <w:pPr>
        <w:pStyle w:val="Heading3"/>
      </w:pPr>
      <w:r>
        <w:t xml:space="preserve">Security Logs</w:t>
      </w:r>
    </w:p>
    <w:p>
      <w:r>
        <w:pict>
          <v:rect style="width:0;height:1.5pt" o:hralign="center" o:hrstd="t" o:hr="t"/>
        </w:pict>
      </w:r>
    </w:p>
    <w:bookmarkEnd w:id="36"/>
    <w:bookmarkStart w:id="37" w:name="audit-logs"/>
    <w:p>
      <w:pPr>
        <w:pStyle w:val="Heading3"/>
      </w:pPr>
      <w:r>
        <w:t xml:space="preserve">Audit Logs</w:t>
      </w:r>
    </w:p>
    <w:p>
      <w:r>
        <w:pict>
          <v:rect style="width:0;height:1.5pt" o:hralign="center" o:hrstd="t" o:hr="t"/>
        </w:pict>
      </w:r>
    </w:p>
    <w:bookmarkEnd w:id="37"/>
    <w:bookmarkEnd w:id="38"/>
    <w:bookmarkStart w:id="39" w:name="logging-rule"/>
    <w:p>
      <w:pPr>
        <w:pStyle w:val="Heading2"/>
      </w:pPr>
      <w:r>
        <w:t xml:space="preserve">Logging Rule</w:t>
      </w:r>
    </w:p>
    <w:p>
      <w:pPr>
        <w:pStyle w:val="FirstParagraph"/>
      </w:pPr>
      <w:r>
        <w:t xml:space="preserve">Critical events shall never be unlogged.</w:t>
      </w:r>
    </w:p>
    <w:p>
      <w:r>
        <w:pict>
          <v:rect style="width:0;height:1.5pt" o:hralign="center" o:hrstd="t" o:hr="t"/>
        </w:pict>
      </w:r>
    </w:p>
    <w:bookmarkEnd w:id="39"/>
    <w:bookmarkEnd w:id="40"/>
    <w:bookmarkStart w:id="41" w:name="chapter-22"/>
    <w:p>
      <w:pPr>
        <w:pStyle w:val="Heading1"/>
      </w:pPr>
      <w:r>
        <w:t xml:space="preserve">CHAPTER 22</w:t>
      </w:r>
    </w:p>
    <w:bookmarkEnd w:id="41"/>
    <w:bookmarkStart w:id="48" w:name="incident-management-standards"/>
    <w:p>
      <w:pPr>
        <w:pStyle w:val="Heading1"/>
      </w:pPr>
      <w:r>
        <w:t xml:space="preserve">INCIDENT MANAGEMENT STANDARDS</w:t>
      </w:r>
    </w:p>
    <w:bookmarkStart w:id="46" w:name="incident-categories"/>
    <w:p>
      <w:pPr>
        <w:pStyle w:val="Heading2"/>
      </w:pPr>
      <w:r>
        <w:t xml:space="preserve">Incident Categories</w:t>
      </w:r>
    </w:p>
    <w:bookmarkStart w:id="42" w:name="low-severity"/>
    <w:p>
      <w:pPr>
        <w:pStyle w:val="Heading3"/>
      </w:pPr>
      <w:r>
        <w:t xml:space="preserve">Low Severity</w:t>
      </w:r>
    </w:p>
    <w:p>
      <w:r>
        <w:pict>
          <v:rect style="width:0;height:1.5pt" o:hralign="center" o:hrstd="t" o:hr="t"/>
        </w:pict>
      </w:r>
    </w:p>
    <w:bookmarkEnd w:id="42"/>
    <w:bookmarkStart w:id="43" w:name="medium-severity"/>
    <w:p>
      <w:pPr>
        <w:pStyle w:val="Heading3"/>
      </w:pPr>
      <w:r>
        <w:t xml:space="preserve">Medium Severity</w:t>
      </w:r>
    </w:p>
    <w:p>
      <w:r>
        <w:pict>
          <v:rect style="width:0;height:1.5pt" o:hralign="center" o:hrstd="t" o:hr="t"/>
        </w:pict>
      </w:r>
    </w:p>
    <w:bookmarkEnd w:id="43"/>
    <w:bookmarkStart w:id="44" w:name="high-severity"/>
    <w:p>
      <w:pPr>
        <w:pStyle w:val="Heading3"/>
      </w:pPr>
      <w:r>
        <w:t xml:space="preserve">High Severity</w:t>
      </w:r>
    </w:p>
    <w:p>
      <w:r>
        <w:pict>
          <v:rect style="width:0;height:1.5pt" o:hralign="center" o:hrstd="t" o:hr="t"/>
        </w:pict>
      </w:r>
    </w:p>
    <w:bookmarkEnd w:id="44"/>
    <w:bookmarkStart w:id="45" w:name="critical-severity"/>
    <w:p>
      <w:pPr>
        <w:pStyle w:val="Heading3"/>
      </w:pPr>
      <w:r>
        <w:t xml:space="preserve">Critical Severity</w:t>
      </w:r>
    </w:p>
    <w:p>
      <w:r>
        <w:pict>
          <v:rect style="width:0;height:1.5pt" o:hralign="center" o:hrstd="t" o:hr="t"/>
        </w:pict>
      </w:r>
    </w:p>
    <w:bookmarkEnd w:id="45"/>
    <w:bookmarkEnd w:id="46"/>
    <w:bookmarkStart w:id="47" w:name="incident-rule"/>
    <w:p>
      <w:pPr>
        <w:pStyle w:val="Heading2"/>
      </w:pPr>
      <w:r>
        <w:t xml:space="preserve">Incident Rule</w:t>
      </w:r>
    </w:p>
    <w:p>
      <w:pPr>
        <w:pStyle w:val="FirstParagraph"/>
      </w:pPr>
      <w:r>
        <w:t xml:space="preserve">All incidents shall be documented and reviewed.</w:t>
      </w:r>
    </w:p>
    <w:p>
      <w:r>
        <w:pict>
          <v:rect style="width:0;height:1.5pt" o:hralign="center" o:hrstd="t" o:hr="t"/>
        </w:pict>
      </w:r>
    </w:p>
    <w:bookmarkEnd w:id="47"/>
    <w:bookmarkEnd w:id="48"/>
    <w:bookmarkStart w:id="49" w:name="chapter-23"/>
    <w:p>
      <w:pPr>
        <w:pStyle w:val="Heading1"/>
      </w:pPr>
      <w:r>
        <w:t xml:space="preserve">CHAPTER 23</w:t>
      </w:r>
    </w:p>
    <w:bookmarkEnd w:id="49"/>
    <w:bookmarkStart w:id="52" w:name="backup-standards"/>
    <w:p>
      <w:pPr>
        <w:pStyle w:val="Heading1"/>
      </w:pPr>
      <w:r>
        <w:t xml:space="preserve">BACKUP STANDARDS</w:t>
      </w:r>
    </w:p>
    <w:bookmarkStart w:id="50" w:name="requirements-2"/>
    <w:p>
      <w:pPr>
        <w:pStyle w:val="Heading2"/>
      </w:pPr>
      <w:r>
        <w:t xml:space="preserve">Requirements</w:t>
      </w:r>
    </w:p>
    <w:p>
      <w:pPr>
        <w:pStyle w:val="FirstParagraph"/>
      </w:pPr>
      <w:r>
        <w:t xml:space="preserve">Enterprise assets shall support:</w:t>
      </w:r>
    </w:p>
    <w:p>
      <w:pPr>
        <w:pStyle w:val="Compact"/>
        <w:numPr>
          <w:ilvl w:val="0"/>
          <w:numId w:val="1004"/>
        </w:numPr>
      </w:pPr>
      <w:r>
        <w:t xml:space="preserve">Scheduled Backups</w:t>
      </w:r>
    </w:p>
    <w:p>
      <w:pPr>
        <w:pStyle w:val="Compact"/>
        <w:numPr>
          <w:ilvl w:val="0"/>
          <w:numId w:val="1004"/>
        </w:numPr>
      </w:pPr>
      <w:r>
        <w:t xml:space="preserve">Recovery Procedures</w:t>
      </w:r>
    </w:p>
    <w:p>
      <w:pPr>
        <w:pStyle w:val="Compact"/>
        <w:numPr>
          <w:ilvl w:val="0"/>
          <w:numId w:val="1004"/>
        </w:numPr>
      </w:pPr>
      <w:r>
        <w:t xml:space="preserve">Verification Procedures</w:t>
      </w:r>
    </w:p>
    <w:p>
      <w:r>
        <w:pict>
          <v:rect style="width:0;height:1.5pt" o:hralign="center" o:hrstd="t" o:hr="t"/>
        </w:pict>
      </w:r>
    </w:p>
    <w:bookmarkEnd w:id="50"/>
    <w:bookmarkStart w:id="51" w:name="recovery-rule"/>
    <w:p>
      <w:pPr>
        <w:pStyle w:val="Heading2"/>
      </w:pPr>
      <w:r>
        <w:t xml:space="preserve">Recovery Rule</w:t>
      </w:r>
    </w:p>
    <w:p>
      <w:pPr>
        <w:pStyle w:val="FirstParagraph"/>
      </w:pPr>
      <w:r>
        <w:t xml:space="preserve">Backups are incomplete until restoration is verified.</w:t>
      </w:r>
    </w:p>
    <w:p>
      <w:r>
        <w:pict>
          <v:rect style="width:0;height:1.5pt" o:hralign="center" o:hrstd="t" o:hr="t"/>
        </w:pict>
      </w:r>
    </w:p>
    <w:bookmarkEnd w:id="51"/>
    <w:bookmarkEnd w:id="52"/>
    <w:bookmarkStart w:id="53" w:name="chapter-24"/>
    <w:p>
      <w:pPr>
        <w:pStyle w:val="Heading1"/>
      </w:pPr>
      <w:r>
        <w:t xml:space="preserve">CHAPTER 24</w:t>
      </w:r>
    </w:p>
    <w:bookmarkEnd w:id="53"/>
    <w:bookmarkStart w:id="56" w:name="availability-standards"/>
    <w:p>
      <w:pPr>
        <w:pStyle w:val="Heading1"/>
      </w:pPr>
      <w:r>
        <w:t xml:space="preserve">AVAILABILITY STANDARDS</w:t>
      </w:r>
    </w:p>
    <w:bookmarkStart w:id="54" w:name="objectives-1"/>
    <w:p>
      <w:pPr>
        <w:pStyle w:val="Heading2"/>
      </w:pPr>
      <w:r>
        <w:t xml:space="preserve">Objectives</w:t>
      </w:r>
    </w:p>
    <w:p>
      <w:pPr>
        <w:pStyle w:val="FirstParagraph"/>
      </w:pPr>
      <w:r>
        <w:t xml:space="preserve">Support:</w:t>
      </w:r>
    </w:p>
    <w:p>
      <w:pPr>
        <w:pStyle w:val="Compact"/>
        <w:numPr>
          <w:ilvl w:val="0"/>
          <w:numId w:val="1005"/>
        </w:numPr>
      </w:pPr>
      <w:r>
        <w:t xml:space="preserve">Reliability</w:t>
      </w:r>
    </w:p>
    <w:p>
      <w:pPr>
        <w:pStyle w:val="Compact"/>
        <w:numPr>
          <w:ilvl w:val="0"/>
          <w:numId w:val="1005"/>
        </w:numPr>
      </w:pPr>
      <w:r>
        <w:t xml:space="preserve">Continuity</w:t>
      </w:r>
    </w:p>
    <w:p>
      <w:pPr>
        <w:pStyle w:val="Compact"/>
        <w:numPr>
          <w:ilvl w:val="0"/>
          <w:numId w:val="1005"/>
        </w:numPr>
      </w:pPr>
      <w:r>
        <w:t xml:space="preserve">Business Operations</w:t>
      </w:r>
    </w:p>
    <w:p>
      <w:r>
        <w:pict>
          <v:rect style="width:0;height:1.5pt" o:hralign="center" o:hrstd="t" o:hr="t"/>
        </w:pict>
      </w:r>
    </w:p>
    <w:bookmarkEnd w:id="54"/>
    <w:bookmarkStart w:id="55" w:name="availability-principle"/>
    <w:p>
      <w:pPr>
        <w:pStyle w:val="Heading2"/>
      </w:pPr>
      <w:r>
        <w:t xml:space="preserve">Availability Principle</w:t>
      </w:r>
    </w:p>
    <w:p>
      <w:pPr>
        <w:pStyle w:val="FirstParagraph"/>
      </w:pPr>
      <w:r>
        <w:t xml:space="preserve">Mission-critical services require continuous operational readiness.</w:t>
      </w:r>
    </w:p>
    <w:p>
      <w:r>
        <w:pict>
          <v:rect style="width:0;height:1.5pt" o:hralign="center" o:hrstd="t" o:hr="t"/>
        </w:pict>
      </w:r>
    </w:p>
    <w:bookmarkEnd w:id="55"/>
    <w:bookmarkEnd w:id="56"/>
    <w:bookmarkStart w:id="57" w:name="part-4-completion-statement"/>
    <w:p>
      <w:pPr>
        <w:pStyle w:val="Heading1"/>
      </w:pPr>
      <w:r>
        <w:t xml:space="preserve">PART 4 COMPLETION STATEMENT</w:t>
      </w:r>
    </w:p>
    <w:p>
      <w:pPr>
        <w:pStyle w:val="FirstParagraph"/>
      </w:pPr>
      <w:r>
        <w:t xml:space="preserve">Volume 06 (Part 04) establishes:</w:t>
      </w:r>
    </w:p>
    <w:p>
      <w:pPr>
        <w:pStyle w:val="Compact"/>
        <w:numPr>
          <w:ilvl w:val="0"/>
          <w:numId w:val="1006"/>
        </w:numPr>
      </w:pPr>
      <w:r>
        <w:t xml:space="preserve">Operational Standards Framework</w:t>
      </w:r>
    </w:p>
    <w:p>
      <w:pPr>
        <w:pStyle w:val="Compact"/>
        <w:numPr>
          <w:ilvl w:val="0"/>
          <w:numId w:val="1006"/>
        </w:numPr>
      </w:pPr>
      <w:r>
        <w:t xml:space="preserve">Monitoring Standards</w:t>
      </w:r>
    </w:p>
    <w:p>
      <w:pPr>
        <w:pStyle w:val="Compact"/>
        <w:numPr>
          <w:ilvl w:val="0"/>
          <w:numId w:val="1006"/>
        </w:numPr>
      </w:pPr>
      <w:r>
        <w:t xml:space="preserve">Logging Standards</w:t>
      </w:r>
    </w:p>
    <w:p>
      <w:pPr>
        <w:pStyle w:val="Compact"/>
        <w:numPr>
          <w:ilvl w:val="0"/>
          <w:numId w:val="1006"/>
        </w:numPr>
      </w:pPr>
      <w:r>
        <w:t xml:space="preserve">Incident Management Standards</w:t>
      </w:r>
    </w:p>
    <w:p>
      <w:pPr>
        <w:pStyle w:val="Compact"/>
        <w:numPr>
          <w:ilvl w:val="0"/>
          <w:numId w:val="1006"/>
        </w:numPr>
      </w:pPr>
      <w:r>
        <w:t xml:space="preserve">Backup Standards</w:t>
      </w:r>
    </w:p>
    <w:p>
      <w:pPr>
        <w:pStyle w:val="Compact"/>
        <w:numPr>
          <w:ilvl w:val="0"/>
          <w:numId w:val="1006"/>
        </w:numPr>
      </w:pPr>
      <w:r>
        <w:t xml:space="preserve">Availability Standards</w:t>
      </w:r>
    </w:p>
    <w:p>
      <w:r>
        <w:pict>
          <v:rect style="width:0;height:1.5pt" o:hralign="center" o:hrstd="t" o:hr="t"/>
        </w:pict>
      </w:r>
    </w:p>
    <w:bookmarkEnd w:id="57"/>
    <w:bookmarkStart w:id="58" w:name="next-section"/>
    <w:p>
      <w:pPr>
        <w:pStyle w:val="Heading1"/>
      </w:pPr>
      <w:r>
        <w:t xml:space="preserve">NEXT SECTION</w:t>
      </w:r>
    </w:p>
    <w:p>
      <w:pPr>
        <w:pStyle w:val="FirstParagraph"/>
      </w:pPr>
      <w:r>
        <w:t xml:space="preserve">Volume 06 (Part 05)</w:t>
      </w:r>
    </w:p>
    <w:p>
      <w:pPr>
        <w:pStyle w:val="BodyText"/>
      </w:pPr>
      <w:r>
        <w:t xml:space="preserve">Security Standards Framework</w:t>
      </w:r>
    </w:p>
    <w:bookmarkEnd w:id="5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2026-06-10T10:14:22Z</dcterms:created>
  <dcterms:modified xsi:type="dcterms:W3CDTF">2026-06-10T10:14:22Z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