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6-part-05"/>
    <w:p>
      <w:pPr>
        <w:pStyle w:val="Heading1"/>
      </w:pPr>
      <w:r>
        <w:t xml:space="preserve">Volume 06 (Part 05)</w:t>
      </w:r>
    </w:p>
    <w:bookmarkStart w:id="22" w:name="enterprise-standards"/>
    <w:p>
      <w:pPr>
        <w:pStyle w:val="Heading2"/>
      </w:pPr>
      <w:r>
        <w:t xml:space="preserve">Enterprise Standards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Standards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Standards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25"/>
    <w:p>
      <w:pPr>
        <w:pStyle w:val="Heading1"/>
      </w:pPr>
      <w:r>
        <w:t xml:space="preserve">CHAPTER 25</w:t>
      </w:r>
    </w:p>
    <w:bookmarkEnd w:id="24"/>
    <w:bookmarkStart w:id="27" w:name="security-standards-framework"/>
    <w:p>
      <w:pPr>
        <w:pStyle w:val="Heading1"/>
      </w:pPr>
      <w:r>
        <w:t xml:space="preserve">SECURITY STANDARDS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mandatory enterprise security requirements.</w:t>
      </w:r>
    </w:p>
    <w:p>
      <w:r>
        <w:pict>
          <v:rect style="width:0;height:1.5pt" o:hralign="center" o:hrstd="t" o:hr="t"/>
        </w:pict>
      </w:r>
    </w:p>
    <w:bookmarkEnd w:id="25"/>
    <w:bookmarkStart w:id="26" w:name="security-objectives"/>
    <w:p>
      <w:pPr>
        <w:pStyle w:val="Heading2"/>
      </w:pPr>
      <w:r>
        <w:t xml:space="preserve">Security Objectives</w:t>
      </w:r>
    </w:p>
    <w:p>
      <w:pPr>
        <w:pStyle w:val="Compact"/>
        <w:numPr>
          <w:ilvl w:val="0"/>
          <w:numId w:val="1001"/>
        </w:numPr>
      </w:pPr>
      <w:r>
        <w:t xml:space="preserve">Confidentiality</w:t>
      </w:r>
    </w:p>
    <w:p>
      <w:pPr>
        <w:pStyle w:val="Compact"/>
        <w:numPr>
          <w:ilvl w:val="0"/>
          <w:numId w:val="1001"/>
        </w:numPr>
      </w:pPr>
      <w:r>
        <w:t xml:space="preserve">Integrity</w:t>
      </w:r>
    </w:p>
    <w:p>
      <w:pPr>
        <w:pStyle w:val="Compact"/>
        <w:numPr>
          <w:ilvl w:val="0"/>
          <w:numId w:val="1001"/>
        </w:numPr>
      </w:pPr>
      <w:r>
        <w:t xml:space="preserve">Availability</w:t>
      </w:r>
    </w:p>
    <w:p>
      <w:pPr>
        <w:pStyle w:val="Compact"/>
        <w:numPr>
          <w:ilvl w:val="0"/>
          <w:numId w:val="1001"/>
        </w:numPr>
      </w:pPr>
      <w:r>
        <w:t xml:space="preserve">Accountability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26"/>
    <w:p>
      <w:pPr>
        <w:pStyle w:val="Heading1"/>
      </w:pPr>
      <w:r>
        <w:t xml:space="preserve">CHAPTER 26</w:t>
      </w:r>
    </w:p>
    <w:bookmarkEnd w:id="28"/>
    <w:bookmarkStart w:id="31" w:name="access-control-standards"/>
    <w:p>
      <w:pPr>
        <w:pStyle w:val="Heading1"/>
      </w:pPr>
      <w:r>
        <w:t xml:space="preserve">ACCESS CONTROL STANDARDS</w:t>
      </w:r>
    </w:p>
    <w:bookmarkStart w:id="29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Access shall be:</w:t>
      </w:r>
    </w:p>
    <w:p>
      <w:pPr>
        <w:pStyle w:val="Compact"/>
        <w:numPr>
          <w:ilvl w:val="0"/>
          <w:numId w:val="1002"/>
        </w:numPr>
      </w:pPr>
      <w:r>
        <w:t xml:space="preserve">Authorized</w:t>
      </w:r>
    </w:p>
    <w:p>
      <w:pPr>
        <w:pStyle w:val="Compact"/>
        <w:numPr>
          <w:ilvl w:val="0"/>
          <w:numId w:val="1002"/>
        </w:numPr>
      </w:pPr>
      <w:r>
        <w:t xml:space="preserve">Traceable</w:t>
      </w:r>
    </w:p>
    <w:p>
      <w:pPr>
        <w:pStyle w:val="Compact"/>
        <w:numPr>
          <w:ilvl w:val="0"/>
          <w:numId w:val="1002"/>
        </w:numPr>
      </w:pPr>
      <w:r>
        <w:t xml:space="preserve">Controlled</w:t>
      </w:r>
    </w:p>
    <w:p>
      <w:pPr>
        <w:pStyle w:val="Compact"/>
        <w:numPr>
          <w:ilvl w:val="0"/>
          <w:numId w:val="1002"/>
        </w:numPr>
      </w:pPr>
      <w:r>
        <w:t xml:space="preserve">Auditable</w:t>
      </w:r>
    </w:p>
    <w:p>
      <w:r>
        <w:pict>
          <v:rect style="width:0;height:1.5pt" o:hralign="center" o:hrstd="t" o:hr="t"/>
        </w:pict>
      </w:r>
    </w:p>
    <w:bookmarkEnd w:id="29"/>
    <w:bookmarkStart w:id="30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Least Privilege shall be applied.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pter-27"/>
    <w:p>
      <w:pPr>
        <w:pStyle w:val="Heading1"/>
      </w:pPr>
      <w:r>
        <w:t xml:space="preserve">CHAPTER 27</w:t>
      </w:r>
    </w:p>
    <w:bookmarkEnd w:id="32"/>
    <w:bookmarkStart w:id="35" w:name="authentication-standards"/>
    <w:p>
      <w:pPr>
        <w:pStyle w:val="Heading1"/>
      </w:pPr>
      <w:r>
        <w:t xml:space="preserve">AUTHENTICATION STANDARDS</w:t>
      </w:r>
    </w:p>
    <w:bookmarkStart w:id="33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Systems shall support:</w:t>
      </w:r>
    </w:p>
    <w:p>
      <w:pPr>
        <w:pStyle w:val="Compact"/>
        <w:numPr>
          <w:ilvl w:val="0"/>
          <w:numId w:val="1003"/>
        </w:numPr>
      </w:pPr>
      <w:r>
        <w:t xml:space="preserve">Identity Verification</w:t>
      </w:r>
    </w:p>
    <w:p>
      <w:pPr>
        <w:pStyle w:val="Compact"/>
        <w:numPr>
          <w:ilvl w:val="0"/>
          <w:numId w:val="1003"/>
        </w:numPr>
      </w:pPr>
      <w:r>
        <w:t xml:space="preserve">Session Management</w:t>
      </w:r>
    </w:p>
    <w:p>
      <w:pPr>
        <w:pStyle w:val="Compact"/>
        <w:numPr>
          <w:ilvl w:val="0"/>
          <w:numId w:val="1003"/>
        </w:numPr>
      </w:pPr>
      <w:r>
        <w:t xml:space="preserve">Credential Protection</w:t>
      </w:r>
    </w:p>
    <w:p>
      <w:r>
        <w:pict>
          <v:rect style="width:0;height:1.5pt" o:hralign="center" o:hrstd="t" o:hr="t"/>
        </w:pict>
      </w:r>
    </w:p>
    <w:bookmarkEnd w:id="33"/>
    <w:bookmarkStart w:id="34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Unauthorized access shall be prohibited.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apter-28"/>
    <w:p>
      <w:pPr>
        <w:pStyle w:val="Heading1"/>
      </w:pPr>
      <w:r>
        <w:t xml:space="preserve">CHAPTER 28</w:t>
      </w:r>
    </w:p>
    <w:bookmarkEnd w:id="36"/>
    <w:bookmarkStart w:id="39" w:name="data-protection-standards"/>
    <w:p>
      <w:pPr>
        <w:pStyle w:val="Heading1"/>
      </w:pPr>
      <w:r>
        <w:t xml:space="preserve">DATA PROTECTION STANDARDS</w:t>
      </w:r>
    </w:p>
    <w:bookmarkStart w:id="37" w:name="objectives"/>
    <w:p>
      <w:pPr>
        <w:pStyle w:val="Heading2"/>
      </w:pPr>
      <w:r>
        <w:t xml:space="preserve">Objectives</w:t>
      </w:r>
    </w:p>
    <w:p>
      <w:pPr>
        <w:pStyle w:val="FirstParagraph"/>
      </w:pPr>
      <w:r>
        <w:t xml:space="preserve">Protect:</w:t>
      </w:r>
    </w:p>
    <w:p>
      <w:pPr>
        <w:pStyle w:val="Compact"/>
        <w:numPr>
          <w:ilvl w:val="0"/>
          <w:numId w:val="1004"/>
        </w:numPr>
      </w:pPr>
      <w:r>
        <w:t xml:space="preserve">Enterprise Data</w:t>
      </w:r>
    </w:p>
    <w:p>
      <w:pPr>
        <w:pStyle w:val="Compact"/>
        <w:numPr>
          <w:ilvl w:val="0"/>
          <w:numId w:val="1004"/>
        </w:numPr>
      </w:pPr>
      <w:r>
        <w:t xml:space="preserve">Operational Data</w:t>
      </w:r>
    </w:p>
    <w:p>
      <w:pPr>
        <w:pStyle w:val="Compact"/>
        <w:numPr>
          <w:ilvl w:val="0"/>
          <w:numId w:val="1004"/>
        </w:numPr>
      </w:pPr>
      <w:r>
        <w:t xml:space="preserve">Intelligence Assets</w:t>
      </w:r>
    </w:p>
    <w:p>
      <w:pPr>
        <w:pStyle w:val="Compact"/>
        <w:numPr>
          <w:ilvl w:val="0"/>
          <w:numId w:val="1004"/>
        </w:numPr>
      </w:pPr>
      <w:r>
        <w:t xml:space="preserve">Audit Records</w:t>
      </w:r>
    </w:p>
    <w:p>
      <w:r>
        <w:pict>
          <v:rect style="width:0;height:1.5pt" o:hralign="center" o:hrstd="t" o:hr="t"/>
        </w:pict>
      </w:r>
    </w:p>
    <w:bookmarkEnd w:id="37"/>
    <w:bookmarkStart w:id="38" w:name="protection-requirements"/>
    <w:p>
      <w:pPr>
        <w:pStyle w:val="Heading2"/>
      </w:pPr>
      <w:r>
        <w:t xml:space="preserve">Protection Requirements</w:t>
      </w:r>
    </w:p>
    <w:p>
      <w:pPr>
        <w:pStyle w:val="Compact"/>
        <w:numPr>
          <w:ilvl w:val="0"/>
          <w:numId w:val="1005"/>
        </w:numPr>
      </w:pPr>
      <w:r>
        <w:t xml:space="preserve">Encryption</w:t>
      </w:r>
    </w:p>
    <w:p>
      <w:pPr>
        <w:pStyle w:val="Compact"/>
        <w:numPr>
          <w:ilvl w:val="0"/>
          <w:numId w:val="1005"/>
        </w:numPr>
      </w:pPr>
      <w:r>
        <w:t xml:space="preserve">Controlled Access</w:t>
      </w:r>
    </w:p>
    <w:p>
      <w:pPr>
        <w:pStyle w:val="Compact"/>
        <w:numPr>
          <w:ilvl w:val="0"/>
          <w:numId w:val="1005"/>
        </w:numPr>
      </w:pPr>
      <w:r>
        <w:t xml:space="preserve">Retention Policies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apter-29"/>
    <w:p>
      <w:pPr>
        <w:pStyle w:val="Heading1"/>
      </w:pPr>
      <w:r>
        <w:t xml:space="preserve">CHAPTER 29</w:t>
      </w:r>
    </w:p>
    <w:bookmarkEnd w:id="40"/>
    <w:bookmarkStart w:id="42" w:name="security-incident-standards"/>
    <w:p>
      <w:pPr>
        <w:pStyle w:val="Heading1"/>
      </w:pPr>
      <w:r>
        <w:t xml:space="preserve">SECURITY INCIDENT STANDARDS</w:t>
      </w:r>
    </w:p>
    <w:bookmarkStart w:id="41" w:name="requirements-2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Security incidents shall support:</w:t>
      </w:r>
    </w:p>
    <w:p>
      <w:pPr>
        <w:pStyle w:val="Compact"/>
        <w:numPr>
          <w:ilvl w:val="0"/>
          <w:numId w:val="1006"/>
        </w:numPr>
      </w:pPr>
      <w:r>
        <w:t xml:space="preserve">Detection</w:t>
      </w:r>
    </w:p>
    <w:p>
      <w:pPr>
        <w:pStyle w:val="Compact"/>
        <w:numPr>
          <w:ilvl w:val="0"/>
          <w:numId w:val="1006"/>
        </w:numPr>
      </w:pPr>
      <w:r>
        <w:t xml:space="preserve">Escalation</w:t>
      </w:r>
    </w:p>
    <w:p>
      <w:pPr>
        <w:pStyle w:val="Compact"/>
        <w:numPr>
          <w:ilvl w:val="0"/>
          <w:numId w:val="1006"/>
        </w:numPr>
      </w:pPr>
      <w:r>
        <w:t xml:space="preserve">Investigation</w:t>
      </w:r>
    </w:p>
    <w:p>
      <w:pPr>
        <w:pStyle w:val="Compact"/>
        <w:numPr>
          <w:ilvl w:val="0"/>
          <w:numId w:val="1006"/>
        </w:numPr>
      </w:pPr>
      <w:r>
        <w:t xml:space="preserve">Resolution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hapter-30"/>
    <w:p>
      <w:pPr>
        <w:pStyle w:val="Heading1"/>
      </w:pPr>
      <w:r>
        <w:t xml:space="preserve">CHAPTER 30</w:t>
      </w:r>
    </w:p>
    <w:bookmarkEnd w:id="43"/>
    <w:bookmarkStart w:id="46" w:name="security-compliance-standards"/>
    <w:p>
      <w:pPr>
        <w:pStyle w:val="Heading1"/>
      </w:pPr>
      <w:r>
        <w:t xml:space="preserve">SECURITY COMPLIANCE STANDARDS</w:t>
      </w:r>
    </w:p>
    <w:bookmarkStart w:id="4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alignment with enterprise governance requirements.</w:t>
      </w:r>
    </w:p>
    <w:p>
      <w:r>
        <w:pict>
          <v:rect style="width:0;height:1.5pt" o:hralign="center" o:hrstd="t" o:hr="t"/>
        </w:pict>
      </w:r>
    </w:p>
    <w:bookmarkEnd w:id="44"/>
    <w:bookmarkStart w:id="45" w:name="compliance-areas"/>
    <w:p>
      <w:pPr>
        <w:pStyle w:val="Heading2"/>
      </w:pPr>
      <w:r>
        <w:t xml:space="preserve">Compliance Areas</w:t>
      </w:r>
    </w:p>
    <w:p>
      <w:pPr>
        <w:pStyle w:val="Compact"/>
        <w:numPr>
          <w:ilvl w:val="0"/>
          <w:numId w:val="1007"/>
        </w:numPr>
      </w:pPr>
      <w:r>
        <w:t xml:space="preserve">Access Control</w:t>
      </w:r>
    </w:p>
    <w:p>
      <w:pPr>
        <w:pStyle w:val="Compact"/>
        <w:numPr>
          <w:ilvl w:val="0"/>
          <w:numId w:val="1007"/>
        </w:numPr>
      </w:pPr>
      <w:r>
        <w:t xml:space="preserve">Data Protection</w:t>
      </w:r>
    </w:p>
    <w:p>
      <w:pPr>
        <w:pStyle w:val="Compact"/>
        <w:numPr>
          <w:ilvl w:val="0"/>
          <w:numId w:val="1007"/>
        </w:numPr>
      </w:pPr>
      <w:r>
        <w:t xml:space="preserve">Auditability</w:t>
      </w:r>
    </w:p>
    <w:p>
      <w:pPr>
        <w:pStyle w:val="Compact"/>
        <w:numPr>
          <w:ilvl w:val="0"/>
          <w:numId w:val="1007"/>
        </w:numPr>
      </w:pPr>
      <w:r>
        <w:t xml:space="preserve">Operational Security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art-5-completion-statement"/>
    <w:p>
      <w:pPr>
        <w:pStyle w:val="Heading1"/>
      </w:pPr>
      <w:r>
        <w:t xml:space="preserve">PART 5 COMPLETION STATEMENT</w:t>
      </w:r>
    </w:p>
    <w:p>
      <w:pPr>
        <w:pStyle w:val="FirstParagraph"/>
      </w:pPr>
      <w:r>
        <w:t xml:space="preserve">Volume 06 (Part 05) establishes:</w:t>
      </w:r>
    </w:p>
    <w:p>
      <w:pPr>
        <w:pStyle w:val="Compact"/>
        <w:numPr>
          <w:ilvl w:val="0"/>
          <w:numId w:val="1008"/>
        </w:numPr>
      </w:pPr>
      <w:r>
        <w:t xml:space="preserve">Security Standards Framework</w:t>
      </w:r>
    </w:p>
    <w:p>
      <w:pPr>
        <w:pStyle w:val="Compact"/>
        <w:numPr>
          <w:ilvl w:val="0"/>
          <w:numId w:val="1008"/>
        </w:numPr>
      </w:pPr>
      <w:r>
        <w:t xml:space="preserve">Access Control Standards</w:t>
      </w:r>
    </w:p>
    <w:p>
      <w:pPr>
        <w:pStyle w:val="Compact"/>
        <w:numPr>
          <w:ilvl w:val="0"/>
          <w:numId w:val="1008"/>
        </w:numPr>
      </w:pPr>
      <w:r>
        <w:t xml:space="preserve">Authentication Standards</w:t>
      </w:r>
    </w:p>
    <w:p>
      <w:pPr>
        <w:pStyle w:val="Compact"/>
        <w:numPr>
          <w:ilvl w:val="0"/>
          <w:numId w:val="1008"/>
        </w:numPr>
      </w:pPr>
      <w:r>
        <w:t xml:space="preserve">Data Protection Standards</w:t>
      </w:r>
    </w:p>
    <w:p>
      <w:pPr>
        <w:pStyle w:val="Compact"/>
        <w:numPr>
          <w:ilvl w:val="0"/>
          <w:numId w:val="1008"/>
        </w:numPr>
      </w:pPr>
      <w:r>
        <w:t xml:space="preserve">Security Incident Standards</w:t>
      </w:r>
    </w:p>
    <w:p>
      <w:pPr>
        <w:pStyle w:val="Compact"/>
        <w:numPr>
          <w:ilvl w:val="0"/>
          <w:numId w:val="1008"/>
        </w:numPr>
      </w:pPr>
      <w:r>
        <w:t xml:space="preserve">Security Compliance Standards</w:t>
      </w:r>
    </w:p>
    <w:p>
      <w:r>
        <w:pict>
          <v:rect style="width:0;height:1.5pt" o:hralign="center" o:hrstd="t" o:hr="t"/>
        </w:pict>
      </w:r>
    </w:p>
    <w:bookmarkEnd w:id="47"/>
    <w:bookmarkStart w:id="48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06 (Part 06)</w:t>
      </w:r>
    </w:p>
    <w:p>
      <w:pPr>
        <w:pStyle w:val="BodyText"/>
      </w:pPr>
      <w:r>
        <w:t xml:space="preserve">Enterprise Quality Standards &amp; Volume Completion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2026-06-10T10:14:40Z</dcterms:created>
  <dcterms:modified xsi:type="dcterms:W3CDTF">2026-06-10T10:14:40Z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