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7-part-05"/>
    <w:p>
      <w:pPr>
        <w:pStyle w:val="Heading1"/>
      </w:pPr>
      <w:r>
        <w:t xml:space="preserve">Volume 07 (Part 05)</w:t>
      </w:r>
    </w:p>
    <w:bookmarkStart w:id="22" w:name="enterprise-governance"/>
    <w:p>
      <w:pPr>
        <w:pStyle w:val="Heading2"/>
      </w:pPr>
      <w:r>
        <w:t xml:space="preserve">Enterprise Governance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Governance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6"/>
    <w:p>
      <w:pPr>
        <w:pStyle w:val="Heading1"/>
      </w:pPr>
      <w:r>
        <w:t xml:space="preserve">CHAPTER 16</w:t>
      </w:r>
    </w:p>
    <w:bookmarkEnd w:id="24"/>
    <w:bookmarkStart w:id="27" w:name="risk-governance-framework"/>
    <w:p>
      <w:pPr>
        <w:pStyle w:val="Heading1"/>
      </w:pPr>
      <w:r>
        <w:t xml:space="preserve">RISK GOVERNANCE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governance oversight of enterprise risks.</w:t>
      </w:r>
    </w:p>
    <w:p>
      <w:r>
        <w:pict>
          <v:rect style="width:0;height:1.5pt" o:hralign="center" o:hrstd="t" o:hr="t"/>
        </w:pict>
      </w:r>
    </w:p>
    <w:bookmarkEnd w:id="25"/>
    <w:bookmarkStart w:id="26" w:name="risk-governance-objectives"/>
    <w:p>
      <w:pPr>
        <w:pStyle w:val="Heading2"/>
      </w:pPr>
      <w:r>
        <w:t xml:space="preserve">Risk Governance Objectives</w:t>
      </w:r>
    </w:p>
    <w:p>
      <w:pPr>
        <w:pStyle w:val="Compact"/>
        <w:numPr>
          <w:ilvl w:val="0"/>
          <w:numId w:val="1001"/>
        </w:numPr>
      </w:pPr>
      <w:r>
        <w:t xml:space="preserve">Risk Visibility</w:t>
      </w:r>
    </w:p>
    <w:p>
      <w:pPr>
        <w:pStyle w:val="Compact"/>
        <w:numPr>
          <w:ilvl w:val="0"/>
          <w:numId w:val="1001"/>
        </w:numPr>
      </w:pPr>
      <w:r>
        <w:t xml:space="preserve">Risk Ownership</w:t>
      </w:r>
    </w:p>
    <w:p>
      <w:pPr>
        <w:pStyle w:val="Compact"/>
        <w:numPr>
          <w:ilvl w:val="0"/>
          <w:numId w:val="1001"/>
        </w:numPr>
      </w:pPr>
      <w:r>
        <w:t xml:space="preserve">Risk Accountability</w:t>
      </w:r>
    </w:p>
    <w:p>
      <w:pPr>
        <w:pStyle w:val="Compact"/>
        <w:numPr>
          <w:ilvl w:val="0"/>
          <w:numId w:val="1001"/>
        </w:numPr>
      </w:pPr>
      <w:r>
        <w:t xml:space="preserve">Risk Mitigation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17"/>
    <w:p>
      <w:pPr>
        <w:pStyle w:val="Heading1"/>
      </w:pPr>
      <w:r>
        <w:t xml:space="preserve">CHAPTER 17</w:t>
      </w:r>
    </w:p>
    <w:bookmarkEnd w:id="28"/>
    <w:bookmarkStart w:id="31" w:name="strategic-governance"/>
    <w:p>
      <w:pPr>
        <w:pStyle w:val="Heading1"/>
      </w:pPr>
      <w:r>
        <w:t xml:space="preserve">STRATEGIC GOVERNANCE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Align enterprise execution with strategic objectives.</w:t>
      </w:r>
    </w:p>
    <w:p>
      <w:r>
        <w:pict>
          <v:rect style="width:0;height:1.5pt" o:hralign="center" o:hrstd="t" o:hr="t"/>
        </w:pict>
      </w:r>
    </w:p>
    <w:bookmarkEnd w:id="29"/>
    <w:bookmarkStart w:id="30" w:name="strategic-responsibilities"/>
    <w:p>
      <w:pPr>
        <w:pStyle w:val="Heading2"/>
      </w:pPr>
      <w:r>
        <w:t xml:space="preserve">Strategic Responsibilities</w:t>
      </w:r>
    </w:p>
    <w:p>
      <w:pPr>
        <w:pStyle w:val="Compact"/>
        <w:numPr>
          <w:ilvl w:val="0"/>
          <w:numId w:val="1002"/>
        </w:numPr>
      </w:pPr>
      <w:r>
        <w:t xml:space="preserve">Direction Setting</w:t>
      </w:r>
    </w:p>
    <w:p>
      <w:pPr>
        <w:pStyle w:val="Compact"/>
        <w:numPr>
          <w:ilvl w:val="0"/>
          <w:numId w:val="1002"/>
        </w:numPr>
      </w:pPr>
      <w:r>
        <w:t xml:space="preserve">Priority Management</w:t>
      </w:r>
    </w:p>
    <w:p>
      <w:pPr>
        <w:pStyle w:val="Compact"/>
        <w:numPr>
          <w:ilvl w:val="0"/>
          <w:numId w:val="1002"/>
        </w:numPr>
      </w:pPr>
      <w:r>
        <w:t xml:space="preserve">Resource Alignment</w:t>
      </w:r>
    </w:p>
    <w:p>
      <w:pPr>
        <w:pStyle w:val="Compact"/>
        <w:numPr>
          <w:ilvl w:val="0"/>
          <w:numId w:val="1002"/>
        </w:numPr>
      </w:pPr>
      <w:r>
        <w:t xml:space="preserve">Long-Term Planning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pter-18"/>
    <w:p>
      <w:pPr>
        <w:pStyle w:val="Heading1"/>
      </w:pPr>
      <w:r>
        <w:t xml:space="preserve">CHAPTER 18</w:t>
      </w:r>
    </w:p>
    <w:bookmarkEnd w:id="32"/>
    <w:bookmarkStart w:id="34" w:name="decision-governance"/>
    <w:p>
      <w:pPr>
        <w:pStyle w:val="Heading1"/>
      </w:pPr>
      <w:r>
        <w:t xml:space="preserve">DECISION GOVERNANCE</w:t>
      </w:r>
    </w:p>
    <w:bookmarkStart w:id="33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Major decisions shall support:</w:t>
      </w:r>
    </w:p>
    <w:p>
      <w:pPr>
        <w:pStyle w:val="Compact"/>
        <w:numPr>
          <w:ilvl w:val="0"/>
          <w:numId w:val="1003"/>
        </w:numPr>
      </w:pPr>
      <w:r>
        <w:t xml:space="preserve">Evidence</w:t>
      </w:r>
    </w:p>
    <w:p>
      <w:pPr>
        <w:pStyle w:val="Compact"/>
        <w:numPr>
          <w:ilvl w:val="0"/>
          <w:numId w:val="1003"/>
        </w:numPr>
      </w:pPr>
      <w:r>
        <w:t xml:space="preserve">Review</w:t>
      </w:r>
    </w:p>
    <w:p>
      <w:pPr>
        <w:pStyle w:val="Compact"/>
        <w:numPr>
          <w:ilvl w:val="0"/>
          <w:numId w:val="1003"/>
        </w:numPr>
      </w:pPr>
      <w:r>
        <w:t xml:space="preserve">Approval</w:t>
      </w:r>
    </w:p>
    <w:p>
      <w:pPr>
        <w:pStyle w:val="Compact"/>
        <w:numPr>
          <w:ilvl w:val="0"/>
          <w:numId w:val="1003"/>
        </w:numPr>
      </w:pPr>
      <w:r>
        <w:t xml:space="preserve">Traceability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hapter-19"/>
    <w:p>
      <w:pPr>
        <w:pStyle w:val="Heading1"/>
      </w:pPr>
      <w:r>
        <w:t xml:space="preserve">CHAPTER 19</w:t>
      </w:r>
    </w:p>
    <w:bookmarkEnd w:id="35"/>
    <w:bookmarkStart w:id="37" w:name="enterprise-alignment-framework"/>
    <w:p>
      <w:pPr>
        <w:pStyle w:val="Heading1"/>
      </w:pPr>
      <w:r>
        <w:t xml:space="preserve">ENTERPRISE ALIGNMENT FRAMEWORK</w:t>
      </w:r>
    </w:p>
    <w:bookmarkStart w:id="36" w:name="alignment-areas"/>
    <w:p>
      <w:pPr>
        <w:pStyle w:val="Heading2"/>
      </w:pPr>
      <w:r>
        <w:t xml:space="preserve">Alignment Areas</w:t>
      </w:r>
    </w:p>
    <w:p>
      <w:pPr>
        <w:pStyle w:val="Compact"/>
        <w:numPr>
          <w:ilvl w:val="0"/>
          <w:numId w:val="1004"/>
        </w:numPr>
      </w:pPr>
      <w:r>
        <w:t xml:space="preserve">Business Alignment</w:t>
      </w:r>
    </w:p>
    <w:p>
      <w:pPr>
        <w:pStyle w:val="Compact"/>
        <w:numPr>
          <w:ilvl w:val="0"/>
          <w:numId w:val="1004"/>
        </w:numPr>
      </w:pPr>
      <w:r>
        <w:t xml:space="preserve">Technical Alignment</w:t>
      </w:r>
    </w:p>
    <w:p>
      <w:pPr>
        <w:pStyle w:val="Compact"/>
        <w:numPr>
          <w:ilvl w:val="0"/>
          <w:numId w:val="1004"/>
        </w:numPr>
      </w:pPr>
      <w:r>
        <w:t xml:space="preserve">Operational Alignment</w:t>
      </w:r>
    </w:p>
    <w:p>
      <w:pPr>
        <w:pStyle w:val="Compact"/>
        <w:numPr>
          <w:ilvl w:val="0"/>
          <w:numId w:val="1004"/>
        </w:numPr>
      </w:pPr>
      <w:r>
        <w:t xml:space="preserve">Governance Alignment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-05-completion-statement"/>
    <w:p>
      <w:pPr>
        <w:pStyle w:val="Heading1"/>
      </w:pPr>
      <w:r>
        <w:t xml:space="preserve">PART 05 COMPLETION STATEMENT</w:t>
      </w:r>
    </w:p>
    <w:p>
      <w:pPr>
        <w:pStyle w:val="FirstParagraph"/>
      </w:pPr>
      <w:r>
        <w:t xml:space="preserve">Volume 07 (Part 05) establishes:</w:t>
      </w:r>
    </w:p>
    <w:p>
      <w:pPr>
        <w:pStyle w:val="Compact"/>
        <w:numPr>
          <w:ilvl w:val="0"/>
          <w:numId w:val="1005"/>
        </w:numPr>
      </w:pPr>
      <w:r>
        <w:t xml:space="preserve">Risk Governance Framework</w:t>
      </w:r>
    </w:p>
    <w:p>
      <w:pPr>
        <w:pStyle w:val="Compact"/>
        <w:numPr>
          <w:ilvl w:val="0"/>
          <w:numId w:val="1005"/>
        </w:numPr>
      </w:pPr>
      <w:r>
        <w:t xml:space="preserve">Strategic Governance</w:t>
      </w:r>
    </w:p>
    <w:p>
      <w:pPr>
        <w:pStyle w:val="Compact"/>
        <w:numPr>
          <w:ilvl w:val="0"/>
          <w:numId w:val="1005"/>
        </w:numPr>
      </w:pPr>
      <w:r>
        <w:t xml:space="preserve">Decision Governance</w:t>
      </w:r>
    </w:p>
    <w:p>
      <w:pPr>
        <w:pStyle w:val="Compact"/>
        <w:numPr>
          <w:ilvl w:val="0"/>
          <w:numId w:val="1005"/>
        </w:numPr>
      </w:pPr>
      <w:r>
        <w:t xml:space="preserve">Enterprise Alignment Framework</w:t>
      </w:r>
    </w:p>
    <w:p>
      <w:r>
        <w:pict>
          <v:rect style="width:0;height:1.5pt" o:hralign="center" o:hrstd="t" o:hr="t"/>
        </w:pict>
      </w:r>
    </w:p>
    <w:bookmarkEnd w:id="38"/>
    <w:bookmarkStart w:id="39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07 (Part 06)</w:t>
      </w:r>
    </w:p>
    <w:p>
      <w:pPr>
        <w:pStyle w:val="BodyText"/>
      </w:pPr>
      <w:r>
        <w:t xml:space="preserve">Governance Authority Declaration &amp; Volume Completion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2026-06-10T10:20:33Z</dcterms:created>
  <dcterms:modified xsi:type="dcterms:W3CDTF">2026-06-10T10:20:33Z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