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7-part-06"/>
    <w:p>
      <w:pPr>
        <w:pStyle w:val="Heading1"/>
      </w:pPr>
      <w:r>
        <w:t xml:space="preserve">Volume 07 (Part 06)</w:t>
      </w:r>
    </w:p>
    <w:bookmarkStart w:id="22" w:name="enterprise-governance"/>
    <w:p>
      <w:pPr>
        <w:pStyle w:val="Heading2"/>
      </w:pPr>
      <w:r>
        <w:t xml:space="preserve">Enterprise Governance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Governance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20"/>
    <w:p>
      <w:pPr>
        <w:pStyle w:val="Heading1"/>
      </w:pPr>
      <w:r>
        <w:t xml:space="preserve">CHAPTER 20</w:t>
      </w:r>
    </w:p>
    <w:bookmarkEnd w:id="24"/>
    <w:bookmarkStart w:id="32" w:name="governance-maturity-model"/>
    <w:p>
      <w:pPr>
        <w:pStyle w:val="Heading1"/>
      </w:pPr>
      <w:r>
        <w:t xml:space="preserve">GOVERNANCE MATURITY MODEL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Measure governance effectiveness.</w:t>
      </w:r>
    </w:p>
    <w:p>
      <w:r>
        <w:pict>
          <v:rect style="width:0;height:1.5pt" o:hralign="center" o:hrstd="t" o:hr="t"/>
        </w:pict>
      </w:r>
    </w:p>
    <w:bookmarkEnd w:id="25"/>
    <w:bookmarkStart w:id="31" w:name="maturity-levels"/>
    <w:p>
      <w:pPr>
        <w:pStyle w:val="Heading2"/>
      </w:pPr>
      <w:r>
        <w:t xml:space="preserve">Maturity Levels</w:t>
      </w:r>
    </w:p>
    <w:bookmarkStart w:id="26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Ad Hoc Governance</w:t>
      </w:r>
    </w:p>
    <w:p>
      <w:r>
        <w:pict>
          <v:rect style="width:0;height:1.5pt" o:hralign="center" o:hrstd="t" o:hr="t"/>
        </w:pict>
      </w:r>
    </w:p>
    <w:bookmarkEnd w:id="26"/>
    <w:bookmarkStart w:id="27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Managed Governance</w:t>
      </w:r>
    </w:p>
    <w:p>
      <w:r>
        <w:pict>
          <v:rect style="width:0;height:1.5pt" o:hralign="center" o:hrstd="t" o:hr="t"/>
        </w:pict>
      </w:r>
    </w:p>
    <w:bookmarkEnd w:id="27"/>
    <w:bookmarkStart w:id="28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Defined Governance</w:t>
      </w:r>
    </w:p>
    <w:p>
      <w:r>
        <w:pict>
          <v:rect style="width:0;height:1.5pt" o:hralign="center" o:hrstd="t" o:hr="t"/>
        </w:pict>
      </w:r>
    </w:p>
    <w:bookmarkEnd w:id="28"/>
    <w:bookmarkStart w:id="29" w:name="level-4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Measured Governance</w:t>
      </w:r>
    </w:p>
    <w:p>
      <w:r>
        <w:pict>
          <v:rect style="width:0;height:1.5pt" o:hralign="center" o:hrstd="t" o:hr="t"/>
        </w:pict>
      </w:r>
    </w:p>
    <w:bookmarkEnd w:id="29"/>
    <w:bookmarkStart w:id="30" w:name="level-5"/>
    <w:p>
      <w:pPr>
        <w:pStyle w:val="Heading3"/>
      </w:pPr>
      <w:r>
        <w:t xml:space="preserve">Level 5</w:t>
      </w:r>
    </w:p>
    <w:p>
      <w:pPr>
        <w:pStyle w:val="FirstParagraph"/>
      </w:pPr>
      <w:r>
        <w:t xml:space="preserve">Enterprise Governance Excellence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chapter-21"/>
    <w:p>
      <w:pPr>
        <w:pStyle w:val="Heading1"/>
      </w:pPr>
      <w:r>
        <w:t xml:space="preserve">CHAPTER 21</w:t>
      </w:r>
    </w:p>
    <w:bookmarkEnd w:id="33"/>
    <w:bookmarkStart w:id="35" w:name="continuous-governance-improvement"/>
    <w:p>
      <w:pPr>
        <w:pStyle w:val="Heading1"/>
      </w:pPr>
      <w:r>
        <w:t xml:space="preserve">CONTINUOUS GOVERNANCE IMPROVEMENT</w:t>
      </w:r>
    </w:p>
    <w:bookmarkStart w:id="34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Improve Compliance</w:t>
      </w:r>
    </w:p>
    <w:p>
      <w:pPr>
        <w:pStyle w:val="Compact"/>
        <w:numPr>
          <w:ilvl w:val="0"/>
          <w:numId w:val="1001"/>
        </w:numPr>
      </w:pPr>
      <w:r>
        <w:t xml:space="preserve">Improve Accountability</w:t>
      </w:r>
    </w:p>
    <w:p>
      <w:pPr>
        <w:pStyle w:val="Compact"/>
        <w:numPr>
          <w:ilvl w:val="0"/>
          <w:numId w:val="1001"/>
        </w:numPr>
      </w:pPr>
      <w:r>
        <w:t xml:space="preserve">Improve Decision Quality</w:t>
      </w:r>
    </w:p>
    <w:p>
      <w:pPr>
        <w:pStyle w:val="Compact"/>
        <w:numPr>
          <w:ilvl w:val="0"/>
          <w:numId w:val="1001"/>
        </w:numPr>
      </w:pPr>
      <w:r>
        <w:t xml:space="preserve">Improve Operational Control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pter-22"/>
    <w:p>
      <w:pPr>
        <w:pStyle w:val="Heading1"/>
      </w:pPr>
      <w:r>
        <w:t xml:space="preserve">CHAPTER 22</w:t>
      </w:r>
    </w:p>
    <w:bookmarkEnd w:id="36"/>
    <w:bookmarkStart w:id="38" w:name="governance-performance-framework"/>
    <w:p>
      <w:pPr>
        <w:pStyle w:val="Heading1"/>
      </w:pPr>
      <w:r>
        <w:t xml:space="preserve">GOVERNANCE PERFORMANCE FRAMEWORK</w:t>
      </w:r>
    </w:p>
    <w:bookmarkStart w:id="37" w:name="measurement-areas"/>
    <w:p>
      <w:pPr>
        <w:pStyle w:val="Heading2"/>
      </w:pPr>
      <w:r>
        <w:t xml:space="preserve">Measurement Areas</w:t>
      </w:r>
    </w:p>
    <w:p>
      <w:pPr>
        <w:pStyle w:val="Compact"/>
        <w:numPr>
          <w:ilvl w:val="0"/>
          <w:numId w:val="1002"/>
        </w:numPr>
      </w:pPr>
      <w:r>
        <w:t xml:space="preserve">Compliance Performance</w:t>
      </w:r>
    </w:p>
    <w:p>
      <w:pPr>
        <w:pStyle w:val="Compact"/>
        <w:numPr>
          <w:ilvl w:val="0"/>
          <w:numId w:val="1002"/>
        </w:numPr>
      </w:pPr>
      <w:r>
        <w:t xml:space="preserve">Audit Performance</w:t>
      </w:r>
    </w:p>
    <w:p>
      <w:pPr>
        <w:pStyle w:val="Compact"/>
        <w:numPr>
          <w:ilvl w:val="0"/>
          <w:numId w:val="1002"/>
        </w:numPr>
      </w:pPr>
      <w:r>
        <w:t xml:space="preserve">Certification Performance</w:t>
      </w:r>
    </w:p>
    <w:p>
      <w:pPr>
        <w:pStyle w:val="Compact"/>
        <w:numPr>
          <w:ilvl w:val="0"/>
          <w:numId w:val="1002"/>
        </w:numPr>
      </w:pPr>
      <w:r>
        <w:t xml:space="preserve">Operational Performance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hapter-23"/>
    <w:p>
      <w:pPr>
        <w:pStyle w:val="Heading1"/>
      </w:pPr>
      <w:r>
        <w:t xml:space="preserve">CHAPTER 23</w:t>
      </w:r>
    </w:p>
    <w:bookmarkEnd w:id="39"/>
    <w:bookmarkStart w:id="41" w:name="official-governance-declaration"/>
    <w:p>
      <w:pPr>
        <w:pStyle w:val="Heading1"/>
      </w:pPr>
      <w:r>
        <w:t xml:space="preserve">OFFICIAL GOVERNANCE DECLARATION</w:t>
      </w:r>
    </w:p>
    <w:bookmarkStart w:id="40" w:name="constitutional-principle"/>
    <w:p>
      <w:pPr>
        <w:pStyle w:val="Heading2"/>
      </w:pPr>
      <w:r>
        <w:t xml:space="preserve">Constitutional Principle</w:t>
      </w:r>
    </w:p>
    <w:p>
      <w:pPr>
        <w:pStyle w:val="FirstParagraph"/>
      </w:pPr>
      <w:r>
        <w:t xml:space="preserve">Within CSI Ultimate Enterprise:</w:t>
      </w:r>
    </w:p>
    <w:p>
      <w:pPr>
        <w:pStyle w:val="BodyText"/>
      </w:pPr>
      <w:r>
        <w:t xml:space="preserve">Governance shall define authority.</w:t>
      </w:r>
    </w:p>
    <w:p>
      <w:pPr>
        <w:pStyle w:val="BodyText"/>
      </w:pPr>
      <w:r>
        <w:t xml:space="preserve">Governance shall enforce accountability.</w:t>
      </w:r>
    </w:p>
    <w:p>
      <w:pPr>
        <w:pStyle w:val="BodyText"/>
      </w:pPr>
      <w:r>
        <w:t xml:space="preserve">Governance shall oversee compliance.</w:t>
      </w:r>
    </w:p>
    <w:p>
      <w:pPr>
        <w:pStyle w:val="BodyText"/>
      </w:pPr>
      <w:r>
        <w:t xml:space="preserve">Governance shall control enterprise execution.</w:t>
      </w:r>
    </w:p>
    <w:p>
      <w:pPr>
        <w:pStyle w:val="BodyText"/>
      </w:pPr>
      <w:r>
        <w:t xml:space="preserve">Governance shall protect enterprise integrity.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olume-07-completion-statement"/>
    <w:p>
      <w:pPr>
        <w:pStyle w:val="Heading1"/>
      </w:pPr>
      <w:r>
        <w:t xml:space="preserve">VOLUME 07 COMPLETION STATEMENT</w:t>
      </w:r>
    </w:p>
    <w:p>
      <w:pPr>
        <w:pStyle w:val="FirstParagraph"/>
      </w:pPr>
      <w:r>
        <w:t xml:space="preserve">Volume 07 establishes:</w:t>
      </w:r>
    </w:p>
    <w:p>
      <w:pPr>
        <w:pStyle w:val="Compact"/>
        <w:numPr>
          <w:ilvl w:val="0"/>
          <w:numId w:val="1003"/>
        </w:numPr>
      </w:pPr>
      <w:r>
        <w:t xml:space="preserve">Governance Foundations</w:t>
      </w:r>
    </w:p>
    <w:p>
      <w:pPr>
        <w:pStyle w:val="Compact"/>
        <w:numPr>
          <w:ilvl w:val="0"/>
          <w:numId w:val="1003"/>
        </w:numPr>
      </w:pPr>
      <w:r>
        <w:t xml:space="preserve">Governance Authority</w:t>
      </w:r>
    </w:p>
    <w:p>
      <w:pPr>
        <w:pStyle w:val="Compact"/>
        <w:numPr>
          <w:ilvl w:val="0"/>
          <w:numId w:val="1003"/>
        </w:numPr>
      </w:pPr>
      <w:r>
        <w:t xml:space="preserve">Accountability Structures</w:t>
      </w:r>
    </w:p>
    <w:p>
      <w:pPr>
        <w:pStyle w:val="Compact"/>
        <w:numPr>
          <w:ilvl w:val="0"/>
          <w:numId w:val="1003"/>
        </w:numPr>
      </w:pPr>
      <w:r>
        <w:t xml:space="preserve">Oversight Frameworks</w:t>
      </w:r>
    </w:p>
    <w:p>
      <w:pPr>
        <w:pStyle w:val="Compact"/>
        <w:numPr>
          <w:ilvl w:val="0"/>
          <w:numId w:val="1003"/>
        </w:numPr>
      </w:pPr>
      <w:r>
        <w:t xml:space="preserve">Escalation Systems</w:t>
      </w:r>
    </w:p>
    <w:p>
      <w:pPr>
        <w:pStyle w:val="Compact"/>
        <w:numPr>
          <w:ilvl w:val="0"/>
          <w:numId w:val="1003"/>
        </w:numPr>
      </w:pPr>
      <w:r>
        <w:t xml:space="preserve">Governance Controls</w:t>
      </w:r>
    </w:p>
    <w:p>
      <w:pPr>
        <w:pStyle w:val="Compact"/>
        <w:numPr>
          <w:ilvl w:val="0"/>
          <w:numId w:val="1003"/>
        </w:numPr>
      </w:pPr>
      <w:r>
        <w:t xml:space="preserve">Risk Governance</w:t>
      </w:r>
    </w:p>
    <w:p>
      <w:pPr>
        <w:pStyle w:val="Compact"/>
        <w:numPr>
          <w:ilvl w:val="0"/>
          <w:numId w:val="1003"/>
        </w:numPr>
      </w:pPr>
      <w:r>
        <w:t xml:space="preserve">Strategic Governance</w:t>
      </w:r>
    </w:p>
    <w:p>
      <w:pPr>
        <w:pStyle w:val="Compact"/>
        <w:numPr>
          <w:ilvl w:val="0"/>
          <w:numId w:val="1003"/>
        </w:numPr>
      </w:pPr>
      <w:r>
        <w:t xml:space="preserve">Governance Maturity Models</w:t>
      </w:r>
    </w:p>
    <w:p>
      <w:pPr>
        <w:pStyle w:val="FirstParagraph"/>
      </w:pPr>
      <w:r>
        <w:t xml:space="preserve">These structures form the official governance authority of CSI Ultimate Enterprise.</w:t>
      </w:r>
    </w:p>
    <w:p>
      <w:r>
        <w:pict>
          <v:rect style="width:0;height:1.5pt" o:hralign="center" o:hrstd="t" o:hr="t"/>
        </w:pict>
      </w:r>
    </w:p>
    <w:bookmarkEnd w:id="42"/>
    <w:bookmarkStart w:id="43" w:name="volume-07-status"/>
    <w:p>
      <w:pPr>
        <w:pStyle w:val="Heading1"/>
      </w:pPr>
      <w:r>
        <w:t xml:space="preserve">VOLUME 07 STATUS</w:t>
      </w:r>
    </w:p>
    <w:p>
      <w:pPr>
        <w:pStyle w:val="FirstParagraph"/>
      </w:pPr>
      <w:r>
        <w:t xml:space="preserve">Completed Parts:</w:t>
      </w:r>
    </w:p>
    <w:p>
      <w:pPr>
        <w:pStyle w:val="Compact"/>
        <w:numPr>
          <w:ilvl w:val="0"/>
          <w:numId w:val="1004"/>
        </w:numPr>
      </w:pPr>
      <w:r>
        <w:t xml:space="preserve">Volume 07 (Part 01)</w:t>
      </w:r>
    </w:p>
    <w:p>
      <w:pPr>
        <w:pStyle w:val="Compact"/>
        <w:numPr>
          <w:ilvl w:val="0"/>
          <w:numId w:val="1004"/>
        </w:numPr>
      </w:pPr>
      <w:r>
        <w:t xml:space="preserve">Volume 07 (Part 02)</w:t>
      </w:r>
    </w:p>
    <w:p>
      <w:pPr>
        <w:pStyle w:val="Compact"/>
        <w:numPr>
          <w:ilvl w:val="0"/>
          <w:numId w:val="1004"/>
        </w:numPr>
      </w:pPr>
      <w:r>
        <w:t xml:space="preserve">Volume 07 (Part 03)</w:t>
      </w:r>
    </w:p>
    <w:p>
      <w:pPr>
        <w:pStyle w:val="Compact"/>
        <w:numPr>
          <w:ilvl w:val="0"/>
          <w:numId w:val="1004"/>
        </w:numPr>
      </w:pPr>
      <w:r>
        <w:t xml:space="preserve">Volume 07 (Part 04)</w:t>
      </w:r>
    </w:p>
    <w:p>
      <w:pPr>
        <w:pStyle w:val="Compact"/>
        <w:numPr>
          <w:ilvl w:val="0"/>
          <w:numId w:val="1004"/>
        </w:numPr>
      </w:pPr>
      <w:r>
        <w:t xml:space="preserve">Volume 07 (Part 05)</w:t>
      </w:r>
    </w:p>
    <w:p>
      <w:pPr>
        <w:pStyle w:val="Compact"/>
        <w:numPr>
          <w:ilvl w:val="0"/>
          <w:numId w:val="1004"/>
        </w:numPr>
      </w:pPr>
      <w:r>
        <w:t xml:space="preserve">Volume 07 (Part 06)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p>
      <w:pPr>
        <w:pStyle w:val="BodyText"/>
      </w:pPr>
      <w:r>
        <w:t xml:space="preserve">READY FOR TEMPLATE FRAMEWORK INTEGRATION</w:t>
      </w:r>
    </w:p>
    <w:p>
      <w:pPr>
        <w:pStyle w:val="BodyText"/>
      </w:pPr>
      <w:r>
        <w:t xml:space="preserve">READY FOR VOLUME 08</w:t>
      </w:r>
    </w:p>
    <w:p>
      <w:r>
        <w:pict>
          <v:rect style="width:0;height:1.5pt" o:hralign="center" o:hrstd="t" o:hr="t"/>
        </w:pict>
      </w:r>
    </w:p>
    <w:bookmarkEnd w:id="43"/>
    <w:bookmarkStart w:id="44" w:name="next-volume"/>
    <w:p>
      <w:pPr>
        <w:pStyle w:val="Heading1"/>
      </w:pPr>
      <w:r>
        <w:t xml:space="preserve">NEXT VOLUME</w:t>
      </w:r>
    </w:p>
    <w:p>
      <w:pPr>
        <w:pStyle w:val="FirstParagraph"/>
      </w:pPr>
      <w:r>
        <w:t xml:space="preserve">Volume 08 (Part 01)</w:t>
      </w:r>
    </w:p>
    <w:p>
      <w:pPr>
        <w:pStyle w:val="BodyText"/>
      </w:pPr>
      <w:r>
        <w:t xml:space="preserve">Enterprise Templates</w:t>
      </w:r>
    </w:p>
    <w:p>
      <w:pPr>
        <w:pStyle w:val="BodyText"/>
      </w:pPr>
      <w:r>
        <w:t xml:space="preserve">This volume establishes:</w:t>
      </w:r>
    </w:p>
    <w:p>
      <w:pPr>
        <w:pStyle w:val="Compact"/>
        <w:numPr>
          <w:ilvl w:val="0"/>
          <w:numId w:val="1005"/>
        </w:numPr>
      </w:pPr>
      <w:r>
        <w:t xml:space="preserve">Audit Templates</w:t>
      </w:r>
    </w:p>
    <w:p>
      <w:pPr>
        <w:pStyle w:val="Compact"/>
        <w:numPr>
          <w:ilvl w:val="0"/>
          <w:numId w:val="1005"/>
        </w:numPr>
      </w:pPr>
      <w:r>
        <w:t xml:space="preserve">Certification Templates</w:t>
      </w:r>
    </w:p>
    <w:p>
      <w:pPr>
        <w:pStyle w:val="Compact"/>
        <w:numPr>
          <w:ilvl w:val="0"/>
          <w:numId w:val="1005"/>
        </w:numPr>
      </w:pPr>
      <w:r>
        <w:t xml:space="preserve">Governance Templates</w:t>
      </w:r>
    </w:p>
    <w:p>
      <w:pPr>
        <w:pStyle w:val="Compact"/>
        <w:numPr>
          <w:ilvl w:val="0"/>
          <w:numId w:val="1005"/>
        </w:numPr>
      </w:pPr>
      <w:r>
        <w:t xml:space="preserve">Risk Templates</w:t>
      </w:r>
    </w:p>
    <w:p>
      <w:pPr>
        <w:pStyle w:val="Compact"/>
        <w:numPr>
          <w:ilvl w:val="0"/>
          <w:numId w:val="1005"/>
        </w:numPr>
      </w:pPr>
      <w:r>
        <w:t xml:space="preserve">Approval Templates</w:t>
      </w:r>
    </w:p>
    <w:p>
      <w:pPr>
        <w:pStyle w:val="Compact"/>
        <w:numPr>
          <w:ilvl w:val="0"/>
          <w:numId w:val="1005"/>
        </w:numPr>
      </w:pPr>
      <w:r>
        <w:t xml:space="preserve">Enterprise Standard Forms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2026-06-10T10:20:48Z</dcterms:created>
  <dcterms:modified xsi:type="dcterms:W3CDTF">2026-06-10T10:20:48Z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