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pi-framework-volume-09-part-01"/>
    <w:p>
      <w:pPr>
        <w:pStyle w:val="Heading1"/>
      </w:pPr>
      <w:r>
        <w:t xml:space="preserve">KPI Framework Volume 09 (Part 01)</w:t>
      </w:r>
    </w:p>
    <w:bookmarkEnd w:id="20"/>
    <w:bookmarkStart w:id="23" w:name="csi-ultimate-enterprise"/>
    <w:p>
      <w:pPr>
        <w:pStyle w:val="Heading1"/>
      </w:pPr>
      <w:r>
        <w:t xml:space="preserve">CSI Ultimate Enterprise</w:t>
      </w:r>
    </w:p>
    <w:bookmarkStart w:id="21" w:name="official-enterprise-constitution"/>
    <w:p>
      <w:pPr>
        <w:pStyle w:val="Heading2"/>
      </w:pPr>
      <w:r>
        <w:t xml:space="preserve">Official Enterprise Constitution</w:t>
      </w:r>
    </w:p>
    <w:bookmarkEnd w:id="21"/>
    <w:bookmarkStart w:id="22" w:name="kpi-framework"/>
    <w:p>
      <w:pPr>
        <w:pStyle w:val="Heading2"/>
      </w:pPr>
      <w:r>
        <w:t xml:space="preserve">KPI Framework</w:t>
      </w:r>
    </w:p>
    <w:p>
      <w:pPr>
        <w:pStyle w:val="FirstParagraph"/>
      </w:pPr>
      <w:r>
        <w:t xml:space="preserve">Version: 3.0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1"/>
    <w:p>
      <w:pPr>
        <w:pStyle w:val="Heading1"/>
      </w:pPr>
      <w:r>
        <w:t xml:space="preserve">CHAPTER 1</w:t>
      </w:r>
    </w:p>
    <w:bookmarkEnd w:id="24"/>
    <w:bookmarkStart w:id="27" w:name="kpi-governance-framework"/>
    <w:p>
      <w:pPr>
        <w:pStyle w:val="Heading1"/>
      </w:pPr>
      <w:r>
        <w:t xml:space="preserve">KPI GOVERNANCE FRAMEWORK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Establish enterprise-wide performance measurement standards.</w:t>
      </w:r>
    </w:p>
    <w:p>
      <w:r>
        <w:pict>
          <v:rect style="width:0;height:1.5pt" o:hralign="center" o:hrstd="t" o:hr="t"/>
        </w:pict>
      </w:r>
    </w:p>
    <w:bookmarkEnd w:id="25"/>
    <w:bookmarkStart w:id="26" w:name="kpi-objectives"/>
    <w:p>
      <w:pPr>
        <w:pStyle w:val="Heading2"/>
      </w:pPr>
      <w:r>
        <w:t xml:space="preserve">KPI Objectives</w:t>
      </w:r>
    </w:p>
    <w:p>
      <w:pPr>
        <w:pStyle w:val="Compact"/>
        <w:numPr>
          <w:ilvl w:val="0"/>
          <w:numId w:val="1001"/>
        </w:numPr>
      </w:pPr>
      <w:r>
        <w:t xml:space="preserve">Visibility</w:t>
      </w:r>
    </w:p>
    <w:p>
      <w:pPr>
        <w:pStyle w:val="Compact"/>
        <w:numPr>
          <w:ilvl w:val="0"/>
          <w:numId w:val="1001"/>
        </w:numPr>
      </w:pPr>
      <w:r>
        <w:t xml:space="preserve">Accountability</w:t>
      </w:r>
    </w:p>
    <w:p>
      <w:pPr>
        <w:pStyle w:val="Compact"/>
        <w:numPr>
          <w:ilvl w:val="0"/>
          <w:numId w:val="1001"/>
        </w:numPr>
      </w:pPr>
      <w:r>
        <w:t xml:space="preserve">Performance Measurement</w:t>
      </w:r>
    </w:p>
    <w:p>
      <w:pPr>
        <w:pStyle w:val="Compact"/>
        <w:numPr>
          <w:ilvl w:val="0"/>
          <w:numId w:val="1001"/>
        </w:numPr>
      </w:pPr>
      <w:r>
        <w:t xml:space="preserve">Continuous Improvement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hapter-2"/>
    <w:p>
      <w:pPr>
        <w:pStyle w:val="Heading1"/>
      </w:pPr>
      <w:r>
        <w:t xml:space="preserve">CHAPTER 2</w:t>
      </w:r>
    </w:p>
    <w:bookmarkEnd w:id="28"/>
    <w:bookmarkStart w:id="34" w:name="kpi-classification-model"/>
    <w:p>
      <w:pPr>
        <w:pStyle w:val="Heading1"/>
      </w:pPr>
      <w:r>
        <w:t xml:space="preserve">KPI CLASSIFICATION MODEL</w:t>
      </w:r>
    </w:p>
    <w:bookmarkStart w:id="29" w:name="strategic-kpis"/>
    <w:p>
      <w:pPr>
        <w:pStyle w:val="Heading3"/>
      </w:pPr>
      <w:r>
        <w:t xml:space="preserve">Strategic KPIs</w:t>
      </w:r>
    </w:p>
    <w:bookmarkEnd w:id="29"/>
    <w:bookmarkStart w:id="30" w:name="operational-kpis"/>
    <w:p>
      <w:pPr>
        <w:pStyle w:val="Heading3"/>
      </w:pPr>
      <w:r>
        <w:t xml:space="preserve">Operational KPIs</w:t>
      </w:r>
    </w:p>
    <w:bookmarkEnd w:id="30"/>
    <w:bookmarkStart w:id="31" w:name="technical-kpis"/>
    <w:p>
      <w:pPr>
        <w:pStyle w:val="Heading3"/>
      </w:pPr>
      <w:r>
        <w:t xml:space="preserve">Technical KPIs</w:t>
      </w:r>
    </w:p>
    <w:bookmarkEnd w:id="31"/>
    <w:bookmarkStart w:id="32" w:name="commercial-kpis"/>
    <w:p>
      <w:pPr>
        <w:pStyle w:val="Heading3"/>
      </w:pPr>
      <w:r>
        <w:t xml:space="preserve">Commercial KPIs</w:t>
      </w:r>
    </w:p>
    <w:bookmarkEnd w:id="32"/>
    <w:bookmarkStart w:id="33" w:name="governance-kpis"/>
    <w:p>
      <w:pPr>
        <w:pStyle w:val="Heading3"/>
      </w:pPr>
      <w:r>
        <w:t xml:space="preserve">Governance KPIs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art-01-completion-statement"/>
    <w:p>
      <w:pPr>
        <w:pStyle w:val="Heading1"/>
      </w:pPr>
      <w:r>
        <w:t xml:space="preserve">PART 01 COMPLETION STATEMENT</w:t>
      </w:r>
    </w:p>
    <w:p>
      <w:pPr>
        <w:pStyle w:val="FirstParagraph"/>
      </w:pPr>
      <w:r>
        <w:t xml:space="preserve">Establishes KPI Governance Foundations.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2026-06-10T10:38:42Z</dcterms:created>
  <dcterms:modified xsi:type="dcterms:W3CDTF">2026-06-10T10:38:42Z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