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pi-framework-volume-09-part-02"/>
    <w:p>
      <w:pPr>
        <w:pStyle w:val="Heading1"/>
      </w:pPr>
      <w:r>
        <w:t xml:space="preserve">KPI Framework Volume 09 (Part 02)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kpi-framework"/>
    <w:p>
      <w:pPr>
        <w:pStyle w:val="Heading2"/>
      </w:pPr>
      <w:r>
        <w:t xml:space="preserve">KPI Framework</w:t>
      </w:r>
    </w:p>
    <w:p>
      <w:pPr>
        <w:pStyle w:val="FirstParagraph"/>
      </w:pPr>
      <w:r>
        <w:t xml:space="preserve">Version: 3.0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3"/>
    <w:p>
      <w:pPr>
        <w:pStyle w:val="Heading1"/>
      </w:pPr>
      <w:r>
        <w:t xml:space="preserve">CHAPTER 3</w:t>
      </w:r>
    </w:p>
    <w:bookmarkEnd w:id="24"/>
    <w:bookmarkStart w:id="26" w:name="enterprise-kpi-framework"/>
    <w:p>
      <w:pPr>
        <w:pStyle w:val="Heading1"/>
      </w:pPr>
      <w:r>
        <w:t xml:space="preserve">ENTERPRISE KPI FRAMEWORK</w:t>
      </w:r>
    </w:p>
    <w:bookmarkStart w:id="25" w:name="enterprise-measurements"/>
    <w:p>
      <w:pPr>
        <w:pStyle w:val="Heading2"/>
      </w:pPr>
      <w:r>
        <w:t xml:space="preserve">Enterprise Measurements</w:t>
      </w:r>
    </w:p>
    <w:p>
      <w:pPr>
        <w:pStyle w:val="Compact"/>
        <w:numPr>
          <w:ilvl w:val="0"/>
          <w:numId w:val="1001"/>
        </w:numPr>
      </w:pPr>
      <w:r>
        <w:t xml:space="preserve">Enterprise Readiness</w:t>
      </w:r>
    </w:p>
    <w:p>
      <w:pPr>
        <w:pStyle w:val="Compact"/>
        <w:numPr>
          <w:ilvl w:val="0"/>
          <w:numId w:val="1001"/>
        </w:numPr>
      </w:pPr>
      <w:r>
        <w:t xml:space="preserve">Enterprise Compliance</w:t>
      </w:r>
    </w:p>
    <w:p>
      <w:pPr>
        <w:pStyle w:val="Compact"/>
        <w:numPr>
          <w:ilvl w:val="0"/>
          <w:numId w:val="1001"/>
        </w:numPr>
      </w:pPr>
      <w:r>
        <w:t xml:space="preserve">Enterprise Maturity</w:t>
      </w:r>
    </w:p>
    <w:p>
      <w:pPr>
        <w:pStyle w:val="Compact"/>
        <w:numPr>
          <w:ilvl w:val="0"/>
          <w:numId w:val="1001"/>
        </w:numPr>
      </w:pPr>
      <w:r>
        <w:t xml:space="preserve">Enterprise Performance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hapter-4"/>
    <w:p>
      <w:pPr>
        <w:pStyle w:val="Heading1"/>
      </w:pPr>
      <w:r>
        <w:t xml:space="preserve">CHAPTER 4</w:t>
      </w:r>
    </w:p>
    <w:bookmarkEnd w:id="27"/>
    <w:bookmarkStart w:id="29" w:name="operational-kpi-framework"/>
    <w:p>
      <w:pPr>
        <w:pStyle w:val="Heading1"/>
      </w:pPr>
      <w:r>
        <w:t xml:space="preserve">OPERATIONAL KPI FRAMEWORK</w:t>
      </w:r>
    </w:p>
    <w:bookmarkStart w:id="28" w:name="operational-measurements"/>
    <w:p>
      <w:pPr>
        <w:pStyle w:val="Heading2"/>
      </w:pPr>
      <w:r>
        <w:t xml:space="preserve">Operational Measurements</w:t>
      </w:r>
    </w:p>
    <w:p>
      <w:pPr>
        <w:pStyle w:val="Compact"/>
        <w:numPr>
          <w:ilvl w:val="0"/>
          <w:numId w:val="1002"/>
        </w:numPr>
      </w:pPr>
      <w:r>
        <w:t xml:space="preserve">Workflow Success Rate</w:t>
      </w:r>
    </w:p>
    <w:p>
      <w:pPr>
        <w:pStyle w:val="Compact"/>
        <w:numPr>
          <w:ilvl w:val="0"/>
          <w:numId w:val="1002"/>
        </w:numPr>
      </w:pPr>
      <w:r>
        <w:t xml:space="preserve">Incident Rate</w:t>
      </w:r>
    </w:p>
    <w:p>
      <w:pPr>
        <w:pStyle w:val="Compact"/>
        <w:numPr>
          <w:ilvl w:val="0"/>
          <w:numId w:val="1002"/>
        </w:numPr>
      </w:pPr>
      <w:r>
        <w:t xml:space="preserve">Resolution Time</w:t>
      </w:r>
    </w:p>
    <w:p>
      <w:pPr>
        <w:pStyle w:val="Compact"/>
        <w:numPr>
          <w:ilvl w:val="0"/>
          <w:numId w:val="1002"/>
        </w:numPr>
      </w:pPr>
      <w:r>
        <w:t xml:space="preserve">Availability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02-completion-statement"/>
    <w:p>
      <w:pPr>
        <w:pStyle w:val="Heading1"/>
      </w:pPr>
      <w:r>
        <w:t xml:space="preserve">PART 02 COMPLETION STATEMENT</w:t>
      </w:r>
    </w:p>
    <w:p>
      <w:pPr>
        <w:pStyle w:val="FirstParagraph"/>
      </w:pPr>
      <w:r>
        <w:t xml:space="preserve">Establishes Enterprise &amp; Operational KPIs.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2026-06-10T10:39:04Z</dcterms:created>
  <dcterms:modified xsi:type="dcterms:W3CDTF">2026-06-10T10:39:04Z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