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4"/>
    <w:p>
      <w:pPr>
        <w:pStyle w:val="Heading1"/>
      </w:pPr>
      <w:r>
        <w:t xml:space="preserve">KPI Framework Volume 09 (Part 04)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6" w:name="quality-kpi-framework"/>
    <w:p>
      <w:pPr>
        <w:pStyle w:val="Heading1"/>
      </w:pPr>
      <w:r>
        <w:t xml:space="preserve">QUALITY KPI FRAMEWORK</w:t>
      </w:r>
    </w:p>
    <w:bookmarkStart w:id="25" w:name="quality-measurements"/>
    <w:p>
      <w:pPr>
        <w:pStyle w:val="Heading2"/>
      </w:pPr>
      <w:r>
        <w:t xml:space="preserve">Quality Measurements</w:t>
      </w:r>
    </w:p>
    <w:p>
      <w:pPr>
        <w:pStyle w:val="Compact"/>
        <w:numPr>
          <w:ilvl w:val="0"/>
          <w:numId w:val="1001"/>
        </w:numPr>
      </w:pPr>
      <w:r>
        <w:t xml:space="preserve">Defect Density</w:t>
      </w:r>
    </w:p>
    <w:p>
      <w:pPr>
        <w:pStyle w:val="Compact"/>
        <w:numPr>
          <w:ilvl w:val="0"/>
          <w:numId w:val="1001"/>
        </w:numPr>
      </w:pPr>
      <w:r>
        <w:t xml:space="preserve">Quality Score</w:t>
      </w:r>
    </w:p>
    <w:p>
      <w:pPr>
        <w:pStyle w:val="Compact"/>
        <w:numPr>
          <w:ilvl w:val="0"/>
          <w:numId w:val="1001"/>
        </w:numPr>
      </w:pPr>
      <w:r>
        <w:t xml:space="preserve">Validation Success Rate</w:t>
      </w:r>
    </w:p>
    <w:p>
      <w:pPr>
        <w:pStyle w:val="Compact"/>
        <w:numPr>
          <w:ilvl w:val="0"/>
          <w:numId w:val="1001"/>
        </w:numPr>
      </w:pPr>
      <w:r>
        <w:t xml:space="preserve">Accuracy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8"/>
    <w:p>
      <w:pPr>
        <w:pStyle w:val="Heading1"/>
      </w:pPr>
      <w:r>
        <w:t xml:space="preserve">CHAPTER 8</w:t>
      </w:r>
    </w:p>
    <w:bookmarkEnd w:id="27"/>
    <w:bookmarkStart w:id="29" w:name="security-kpi-framework"/>
    <w:p>
      <w:pPr>
        <w:pStyle w:val="Heading1"/>
      </w:pPr>
      <w:r>
        <w:t xml:space="preserve">SECURITY KPI FRAMEWORK</w:t>
      </w:r>
    </w:p>
    <w:bookmarkStart w:id="28" w:name="security-measurements"/>
    <w:p>
      <w:pPr>
        <w:pStyle w:val="Heading2"/>
      </w:pPr>
      <w:r>
        <w:t xml:space="preserve">Security Measurements</w:t>
      </w:r>
    </w:p>
    <w:p>
      <w:pPr>
        <w:pStyle w:val="Compact"/>
        <w:numPr>
          <w:ilvl w:val="0"/>
          <w:numId w:val="1002"/>
        </w:numPr>
      </w:pPr>
      <w:r>
        <w:t xml:space="preserve">Security Incidents</w:t>
      </w:r>
    </w:p>
    <w:p>
      <w:pPr>
        <w:pStyle w:val="Compact"/>
        <w:numPr>
          <w:ilvl w:val="0"/>
          <w:numId w:val="1002"/>
        </w:numPr>
      </w:pPr>
      <w:r>
        <w:t xml:space="preserve">Security Compliance</w:t>
      </w:r>
    </w:p>
    <w:p>
      <w:pPr>
        <w:pStyle w:val="Compact"/>
        <w:numPr>
          <w:ilvl w:val="0"/>
          <w:numId w:val="1002"/>
        </w:numPr>
      </w:pPr>
      <w:r>
        <w:t xml:space="preserve">Vulnerability Resolution Time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4-completion-statement"/>
    <w:p>
      <w:pPr>
        <w:pStyle w:val="Heading1"/>
      </w:pPr>
      <w:r>
        <w:t xml:space="preserve">PART 04 COMPLETION STATEMENT</w:t>
      </w:r>
    </w:p>
    <w:p>
      <w:pPr>
        <w:pStyle w:val="FirstParagraph"/>
      </w:pPr>
      <w:r>
        <w:t xml:space="preserve">Establishes Quality &amp; Security KPIs.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2026-06-10T10:39:35Z</dcterms:created>
  <dcterms:modified xsi:type="dcterms:W3CDTF">2026-06-10T10:39:35Z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