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pi-framework-volume-09-part-05"/>
    <w:p>
      <w:pPr>
        <w:pStyle w:val="Heading1"/>
      </w:pPr>
      <w:r>
        <w:t xml:space="preserve">KPI Framework Volume 09 (Part 05)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kpi-framework"/>
    <w:p>
      <w:pPr>
        <w:pStyle w:val="Heading2"/>
      </w:pPr>
      <w:r>
        <w:t xml:space="preserve">KPI Framework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9"/>
    <w:p>
      <w:pPr>
        <w:pStyle w:val="Heading1"/>
      </w:pPr>
      <w:r>
        <w:t xml:space="preserve">CHAPTER 9</w:t>
      </w:r>
    </w:p>
    <w:bookmarkEnd w:id="24"/>
    <w:bookmarkStart w:id="26" w:name="commercial-kpi-framework"/>
    <w:p>
      <w:pPr>
        <w:pStyle w:val="Heading1"/>
      </w:pPr>
      <w:r>
        <w:t xml:space="preserve">COMMERCIAL KPI FRAMEWORK</w:t>
      </w:r>
    </w:p>
    <w:bookmarkStart w:id="25" w:name="commercial-measurements"/>
    <w:p>
      <w:pPr>
        <w:pStyle w:val="Heading2"/>
      </w:pPr>
      <w:r>
        <w:t xml:space="preserve">Commercial Measurements</w:t>
      </w:r>
    </w:p>
    <w:p>
      <w:pPr>
        <w:pStyle w:val="Compact"/>
        <w:numPr>
          <w:ilvl w:val="0"/>
          <w:numId w:val="1001"/>
        </w:numPr>
      </w:pPr>
      <w:r>
        <w:t xml:space="preserve">Revenue Impact</w:t>
      </w:r>
    </w:p>
    <w:p>
      <w:pPr>
        <w:pStyle w:val="Compact"/>
        <w:numPr>
          <w:ilvl w:val="0"/>
          <w:numId w:val="1001"/>
        </w:numPr>
      </w:pPr>
      <w:r>
        <w:t xml:space="preserve">Intelligence Value</w:t>
      </w:r>
    </w:p>
    <w:p>
      <w:pPr>
        <w:pStyle w:val="Compact"/>
        <w:numPr>
          <w:ilvl w:val="0"/>
          <w:numId w:val="1001"/>
        </w:numPr>
      </w:pPr>
      <w:r>
        <w:t xml:space="preserve">Customer Satisfaction</w:t>
      </w:r>
    </w:p>
    <w:p>
      <w:pPr>
        <w:pStyle w:val="Compact"/>
        <w:numPr>
          <w:ilvl w:val="0"/>
          <w:numId w:val="1001"/>
        </w:numPr>
      </w:pPr>
      <w:r>
        <w:t xml:space="preserve">Business Adoption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10"/>
    <w:p>
      <w:pPr>
        <w:pStyle w:val="Heading1"/>
      </w:pPr>
      <w:r>
        <w:t xml:space="preserve">CHAPTER 10</w:t>
      </w:r>
    </w:p>
    <w:bookmarkEnd w:id="27"/>
    <w:bookmarkStart w:id="29" w:name="ai-kpi-framework"/>
    <w:p>
      <w:pPr>
        <w:pStyle w:val="Heading1"/>
      </w:pPr>
      <w:r>
        <w:t xml:space="preserve">AI KPI FRAMEWORK</w:t>
      </w:r>
    </w:p>
    <w:bookmarkStart w:id="28" w:name="ai-measurements"/>
    <w:p>
      <w:pPr>
        <w:pStyle w:val="Heading2"/>
      </w:pPr>
      <w:r>
        <w:t xml:space="preserve">AI Measurements</w:t>
      </w:r>
    </w:p>
    <w:p>
      <w:pPr>
        <w:pStyle w:val="Compact"/>
        <w:numPr>
          <w:ilvl w:val="0"/>
          <w:numId w:val="1002"/>
        </w:numPr>
      </w:pPr>
      <w:r>
        <w:t xml:space="preserve">Accuracy</w:t>
      </w:r>
    </w:p>
    <w:p>
      <w:pPr>
        <w:pStyle w:val="Compact"/>
        <w:numPr>
          <w:ilvl w:val="0"/>
          <w:numId w:val="1002"/>
        </w:numPr>
      </w:pPr>
      <w:r>
        <w:t xml:space="preserve">Confidence Score</w:t>
      </w:r>
    </w:p>
    <w:p>
      <w:pPr>
        <w:pStyle w:val="Compact"/>
        <w:numPr>
          <w:ilvl w:val="0"/>
          <w:numId w:val="1002"/>
        </w:numPr>
      </w:pPr>
      <w:r>
        <w:t xml:space="preserve">Recommendation Quality</w:t>
      </w:r>
    </w:p>
    <w:p>
      <w:pPr>
        <w:pStyle w:val="Compact"/>
        <w:numPr>
          <w:ilvl w:val="0"/>
          <w:numId w:val="1002"/>
        </w:numPr>
      </w:pPr>
      <w:r>
        <w:t xml:space="preserve">Automation Rate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5-completion-statement"/>
    <w:p>
      <w:pPr>
        <w:pStyle w:val="Heading1"/>
      </w:pPr>
      <w:r>
        <w:t xml:space="preserve">PART 05 COMPLETION STATEMENT</w:t>
      </w:r>
    </w:p>
    <w:p>
      <w:pPr>
        <w:pStyle w:val="FirstParagraph"/>
      </w:pPr>
      <w:r>
        <w:t xml:space="preserve">Establishes Commercial &amp; AI KPIs.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2026-06-10T10:39:50Z</dcterms:created>
  <dcterms:modified xsi:type="dcterms:W3CDTF">2026-06-10T10:39:50Z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