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isk-management-volume-10-part-02"/>
    <w:p>
      <w:pPr>
        <w:pStyle w:val="Heading1"/>
      </w:pPr>
      <w:r>
        <w:t xml:space="preserve">Risk Management Volume 10 (Part 02)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risk-management"/>
    <w:p>
      <w:pPr>
        <w:pStyle w:val="Heading2"/>
      </w:pPr>
      <w:r>
        <w:t xml:space="preserve">Risk Management</w:t>
      </w:r>
    </w:p>
    <w:p>
      <w:pPr>
        <w:pStyle w:val="FirstParagraph"/>
      </w:pPr>
      <w:r>
        <w:t xml:space="preserve">Version: 3.0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3"/>
    <w:p>
      <w:pPr>
        <w:pStyle w:val="Heading1"/>
      </w:pPr>
      <w:r>
        <w:t xml:space="preserve">CHAPTER 3</w:t>
      </w:r>
    </w:p>
    <w:bookmarkEnd w:id="24"/>
    <w:bookmarkStart w:id="26" w:name="risk-classification-framework"/>
    <w:p>
      <w:pPr>
        <w:pStyle w:val="Heading1"/>
      </w:pPr>
      <w:r>
        <w:t xml:space="preserve">RISK CLASSIFICATION FRAMEWORK</w:t>
      </w:r>
    </w:p>
    <w:bookmarkStart w:id="25" w:name="categories"/>
    <w:p>
      <w:pPr>
        <w:pStyle w:val="Heading2"/>
      </w:pPr>
      <w:r>
        <w:t xml:space="preserve">Categories</w:t>
      </w:r>
    </w:p>
    <w:p>
      <w:pPr>
        <w:pStyle w:val="Compact"/>
        <w:numPr>
          <w:ilvl w:val="0"/>
          <w:numId w:val="1001"/>
        </w:numPr>
      </w:pPr>
      <w:r>
        <w:t xml:space="preserve">Strategic Risks</w:t>
      </w:r>
    </w:p>
    <w:p>
      <w:pPr>
        <w:pStyle w:val="Compact"/>
        <w:numPr>
          <w:ilvl w:val="0"/>
          <w:numId w:val="1001"/>
        </w:numPr>
      </w:pPr>
      <w:r>
        <w:t xml:space="preserve">Technical Risks</w:t>
      </w:r>
    </w:p>
    <w:p>
      <w:pPr>
        <w:pStyle w:val="Compact"/>
        <w:numPr>
          <w:ilvl w:val="0"/>
          <w:numId w:val="1001"/>
        </w:numPr>
      </w:pPr>
      <w:r>
        <w:t xml:space="preserve">Operational Risks</w:t>
      </w:r>
    </w:p>
    <w:p>
      <w:pPr>
        <w:pStyle w:val="Compact"/>
        <w:numPr>
          <w:ilvl w:val="0"/>
          <w:numId w:val="1001"/>
        </w:numPr>
      </w:pPr>
      <w:r>
        <w:t xml:space="preserve">Security Risks</w:t>
      </w:r>
    </w:p>
    <w:p>
      <w:pPr>
        <w:pStyle w:val="Compact"/>
        <w:numPr>
          <w:ilvl w:val="0"/>
          <w:numId w:val="1001"/>
        </w:numPr>
      </w:pPr>
      <w:r>
        <w:t xml:space="preserve">AI Risks</w:t>
      </w:r>
    </w:p>
    <w:p>
      <w:pPr>
        <w:pStyle w:val="Compact"/>
        <w:numPr>
          <w:ilvl w:val="0"/>
          <w:numId w:val="1001"/>
        </w:numPr>
      </w:pPr>
      <w:r>
        <w:t xml:space="preserve">Commercial Risks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pter-4"/>
    <w:p>
      <w:pPr>
        <w:pStyle w:val="Heading1"/>
      </w:pPr>
      <w:r>
        <w:t xml:space="preserve">CHAPTER 4</w:t>
      </w:r>
    </w:p>
    <w:bookmarkEnd w:id="27"/>
    <w:bookmarkStart w:id="28" w:name="risk-ownership-model"/>
    <w:p>
      <w:pPr>
        <w:pStyle w:val="Heading1"/>
      </w:pPr>
      <w:r>
        <w:t xml:space="preserve">RISK OWNERSHIP MODEL</w:t>
      </w:r>
    </w:p>
    <w:p>
      <w:pPr>
        <w:pStyle w:val="FirstParagraph"/>
      </w:pPr>
      <w:r>
        <w:t xml:space="preserve">Every risk shall have:</w:t>
      </w:r>
    </w:p>
    <w:p>
      <w:pPr>
        <w:pStyle w:val="Compact"/>
        <w:numPr>
          <w:ilvl w:val="0"/>
          <w:numId w:val="1002"/>
        </w:numPr>
      </w:pPr>
      <w:r>
        <w:t xml:space="preserve">Owner</w:t>
      </w:r>
    </w:p>
    <w:p>
      <w:pPr>
        <w:pStyle w:val="Compact"/>
        <w:numPr>
          <w:ilvl w:val="0"/>
          <w:numId w:val="1002"/>
        </w:numPr>
      </w:pPr>
      <w:r>
        <w:t xml:space="preserve">Severity</w:t>
      </w:r>
    </w:p>
    <w:p>
      <w:pPr>
        <w:pStyle w:val="Compact"/>
        <w:numPr>
          <w:ilvl w:val="0"/>
          <w:numId w:val="1002"/>
        </w:numPr>
      </w:pPr>
      <w:r>
        <w:t xml:space="preserve">Mitigation Plan</w:t>
      </w:r>
    </w:p>
    <w:p>
      <w:pPr>
        <w:pStyle w:val="Compact"/>
        <w:numPr>
          <w:ilvl w:val="0"/>
          <w:numId w:val="1002"/>
        </w:numPr>
      </w:pPr>
      <w:r>
        <w:t xml:space="preserve">Review Schedule</w:t>
      </w:r>
    </w:p>
    <w:p>
      <w:r>
        <w:pict>
          <v:rect style="width:0;height:1.5pt" o:hralign="center" o:hrstd="t" o:hr="t"/>
        </w:pict>
      </w:r>
    </w:p>
    <w:bookmarkEnd w:id="28"/>
    <w:bookmarkStart w:id="29" w:name="part-02-completion-statement"/>
    <w:p>
      <w:pPr>
        <w:pStyle w:val="Heading1"/>
      </w:pPr>
      <w:r>
        <w:t xml:space="preserve">PART 02 COMPLETION STATEMENT</w:t>
      </w:r>
    </w:p>
    <w:p>
      <w:pPr>
        <w:pStyle w:val="FirstParagraph"/>
      </w:pPr>
      <w:r>
        <w:t xml:space="preserve">Establishes Risk Classification &amp; Ownership.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2026-06-10T10:46:20Z</dcterms:created>
  <dcterms:modified xsi:type="dcterms:W3CDTF">2026-06-10T10:46:20Z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