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isk-management-volume-10-part-03"/>
    <w:p>
      <w:pPr>
        <w:pStyle w:val="Heading1"/>
      </w:pPr>
      <w:r>
        <w:t xml:space="preserve">Risk Management Volume 10 (Part 03)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risk-management"/>
    <w:p>
      <w:pPr>
        <w:pStyle w:val="Heading2"/>
      </w:pPr>
      <w:r>
        <w:t xml:space="preserve">Risk Management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5"/>
    <w:p>
      <w:pPr>
        <w:pStyle w:val="Heading1"/>
      </w:pPr>
      <w:r>
        <w:t xml:space="preserve">CHAPTER 5</w:t>
      </w:r>
    </w:p>
    <w:bookmarkEnd w:id="24"/>
    <w:bookmarkStart w:id="26" w:name="risk-assessment-framework"/>
    <w:p>
      <w:pPr>
        <w:pStyle w:val="Heading1"/>
      </w:pPr>
      <w:r>
        <w:t xml:space="preserve">RISK ASSESSMENT FRAMEWORK</w:t>
      </w:r>
    </w:p>
    <w:bookmarkStart w:id="25" w:name="assessment-areas"/>
    <w:p>
      <w:pPr>
        <w:pStyle w:val="Heading2"/>
      </w:pPr>
      <w:r>
        <w:t xml:space="preserve">Assessment Areas</w:t>
      </w:r>
    </w:p>
    <w:p>
      <w:pPr>
        <w:pStyle w:val="Compact"/>
        <w:numPr>
          <w:ilvl w:val="0"/>
          <w:numId w:val="1001"/>
        </w:numPr>
      </w:pPr>
      <w:r>
        <w:t xml:space="preserve">Probability</w:t>
      </w:r>
    </w:p>
    <w:p>
      <w:pPr>
        <w:pStyle w:val="Compact"/>
        <w:numPr>
          <w:ilvl w:val="0"/>
          <w:numId w:val="1001"/>
        </w:numPr>
      </w:pPr>
      <w:r>
        <w:t xml:space="preserve">Impact</w:t>
      </w:r>
    </w:p>
    <w:p>
      <w:pPr>
        <w:pStyle w:val="Compact"/>
        <w:numPr>
          <w:ilvl w:val="0"/>
          <w:numId w:val="1001"/>
        </w:numPr>
      </w:pPr>
      <w:r>
        <w:t xml:space="preserve">Exposure</w:t>
      </w:r>
    </w:p>
    <w:p>
      <w:pPr>
        <w:pStyle w:val="Compact"/>
        <w:numPr>
          <w:ilvl w:val="0"/>
          <w:numId w:val="1001"/>
        </w:numPr>
      </w:pPr>
      <w:r>
        <w:t xml:space="preserve">Detectability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6"/>
    <w:p>
      <w:pPr>
        <w:pStyle w:val="Heading1"/>
      </w:pPr>
      <w:r>
        <w:t xml:space="preserve">CHAPTER 6</w:t>
      </w:r>
    </w:p>
    <w:bookmarkEnd w:id="27"/>
    <w:bookmarkStart w:id="29" w:name="risk-scoring-model"/>
    <w:p>
      <w:pPr>
        <w:pStyle w:val="Heading1"/>
      </w:pPr>
      <w:r>
        <w:t xml:space="preserve">RISK SCORING MODEL</w:t>
      </w:r>
    </w:p>
    <w:bookmarkStart w:id="28" w:name="risk-levels"/>
    <w:p>
      <w:pPr>
        <w:pStyle w:val="Heading2"/>
      </w:pPr>
      <w:r>
        <w:t xml:space="preserve">Risk Levels</w:t>
      </w:r>
    </w:p>
    <w:p>
      <w:pPr>
        <w:pStyle w:val="Compact"/>
        <w:numPr>
          <w:ilvl w:val="0"/>
          <w:numId w:val="1002"/>
        </w:numPr>
      </w:pPr>
      <w:r>
        <w:t xml:space="preserve">Low</w:t>
      </w:r>
    </w:p>
    <w:p>
      <w:pPr>
        <w:pStyle w:val="Compact"/>
        <w:numPr>
          <w:ilvl w:val="0"/>
          <w:numId w:val="1002"/>
        </w:numPr>
      </w:pPr>
      <w:r>
        <w:t xml:space="preserve">Medium</w:t>
      </w:r>
    </w:p>
    <w:p>
      <w:pPr>
        <w:pStyle w:val="Compact"/>
        <w:numPr>
          <w:ilvl w:val="0"/>
          <w:numId w:val="1002"/>
        </w:numPr>
      </w:pPr>
      <w:r>
        <w:t xml:space="preserve">High</w:t>
      </w:r>
    </w:p>
    <w:p>
      <w:pPr>
        <w:pStyle w:val="Compact"/>
        <w:numPr>
          <w:ilvl w:val="0"/>
          <w:numId w:val="1002"/>
        </w:numPr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03-completion-statement"/>
    <w:p>
      <w:pPr>
        <w:pStyle w:val="Heading1"/>
      </w:pPr>
      <w:r>
        <w:t xml:space="preserve">PART 03 COMPLETION STATEMENT</w:t>
      </w:r>
    </w:p>
    <w:p>
      <w:pPr>
        <w:pStyle w:val="FirstParagraph"/>
      </w:pPr>
      <w:r>
        <w:t xml:space="preserve">Establishes Risk Assessment Standards.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2026-06-10T10:46:38Z</dcterms:created>
  <dcterms:modified xsi:type="dcterms:W3CDTF">2026-06-10T10:46:38Z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