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5"/>
    <w:p>
      <w:pPr>
        <w:pStyle w:val="Heading1"/>
      </w:pPr>
      <w:r>
        <w:t xml:space="preserve">Risk Management Volume 10 (Part 05)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9"/>
    <w:p>
      <w:pPr>
        <w:pStyle w:val="Heading1"/>
      </w:pPr>
      <w:r>
        <w:t xml:space="preserve">CHAPTER 9</w:t>
      </w:r>
    </w:p>
    <w:bookmarkEnd w:id="24"/>
    <w:bookmarkStart w:id="26" w:name="continuous-risk-monitoring"/>
    <w:p>
      <w:pPr>
        <w:pStyle w:val="Heading1"/>
      </w:pPr>
      <w:r>
        <w:t xml:space="preserve">CONTINUOUS RISK MONITORING</w:t>
      </w:r>
    </w:p>
    <w:bookmarkStart w:id="25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Detection</w:t>
      </w:r>
    </w:p>
    <w:p>
      <w:pPr>
        <w:pStyle w:val="Compact"/>
        <w:numPr>
          <w:ilvl w:val="0"/>
          <w:numId w:val="1001"/>
        </w:numPr>
      </w:pPr>
      <w:r>
        <w:t xml:space="preserve">Tracking</w:t>
      </w:r>
    </w:p>
    <w:p>
      <w:pPr>
        <w:pStyle w:val="Compact"/>
        <w:numPr>
          <w:ilvl w:val="0"/>
          <w:numId w:val="1001"/>
        </w:numPr>
      </w:pPr>
      <w:r>
        <w:t xml:space="preserve">Reporting</w:t>
      </w:r>
    </w:p>
    <w:p>
      <w:pPr>
        <w:pStyle w:val="Compact"/>
        <w:numPr>
          <w:ilvl w:val="0"/>
          <w:numId w:val="1001"/>
        </w:numPr>
      </w:pPr>
      <w:r>
        <w:t xml:space="preserve">Escalation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10"/>
    <w:p>
      <w:pPr>
        <w:pStyle w:val="Heading1"/>
      </w:pPr>
      <w:r>
        <w:t xml:space="preserve">CHAPTER 10</w:t>
      </w:r>
    </w:p>
    <w:bookmarkEnd w:id="27"/>
    <w:bookmarkStart w:id="29" w:name="risk-reporting-framework"/>
    <w:p>
      <w:pPr>
        <w:pStyle w:val="Heading1"/>
      </w:pPr>
      <w:r>
        <w:t xml:space="preserve">RISK REPORTING FRAMEWORK</w:t>
      </w:r>
    </w:p>
    <w:bookmarkStart w:id="28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02"/>
        </w:numPr>
      </w:pPr>
      <w:r>
        <w:t xml:space="preserve">Operational Risk Reports</w:t>
      </w:r>
    </w:p>
    <w:p>
      <w:pPr>
        <w:pStyle w:val="Compact"/>
        <w:numPr>
          <w:ilvl w:val="0"/>
          <w:numId w:val="1002"/>
        </w:numPr>
      </w:pPr>
      <w:r>
        <w:t xml:space="preserve">Strategic Risk Reports</w:t>
      </w:r>
    </w:p>
    <w:p>
      <w:pPr>
        <w:pStyle w:val="Compact"/>
        <w:numPr>
          <w:ilvl w:val="0"/>
          <w:numId w:val="1002"/>
        </w:numPr>
      </w:pPr>
      <w:r>
        <w:t xml:space="preserve">Executive Risk Reports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5-completion-statement"/>
    <w:p>
      <w:pPr>
        <w:pStyle w:val="Heading1"/>
      </w:pPr>
      <w:r>
        <w:t xml:space="preserve">PART 05 COMPLETION STATEMENT</w:t>
      </w:r>
    </w:p>
    <w:p>
      <w:pPr>
        <w:pStyle w:val="FirstParagraph"/>
      </w:pPr>
      <w:r>
        <w:t xml:space="preserve">Establishes Risk Monitoring &amp; Reporting.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2026-06-10T10:47:38Z</dcterms:created>
  <dcterms:modified xsi:type="dcterms:W3CDTF">2026-06-10T10:47:38Z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