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Analysis of the v4 Double Dueling DQN Policy for Shared Autonomous Vehicle Trip Pooling</w:t>
      </w:r>
    </w:p>
    <w:p>
      <w:pPr>
        <w:jc w:val="center"/>
      </w:pPr>
      <w:r>
        <w:rPr>
          <w:i/>
        </w:rPr>
        <w:t>Greedy evaluation on 15,103 HVFHV trips (2019, week of 2019-04-08). Generated 2026-05-11.</w:t>
      </w:r>
    </w:p>
    <w:p/>
    <w:p>
      <w:pPr>
        <w:pStyle w:val="Heading1"/>
      </w:pPr>
      <w:r>
        <w:t>1. Methodology</w:t>
      </w:r>
    </w:p>
    <w:p>
      <w:r>
        <w:t>The agent assigns each incoming trip to either solo service or a shared service with one of the next ten candidates from the same request queue. Training is performed offline on a balanced stratified sample of ~196,000 NYC TLC HVFHV trips (Uber and Lyft, March-May 2019), and inference is performed in the same environment with exploration disabled.</w:t>
      </w:r>
    </w:p>
    <w:p>
      <w:pPr>
        <w:pStyle w:val="Heading2"/>
      </w:pPr>
      <w:r>
        <w:t>1.1 Problem setting</w:t>
      </w:r>
    </w:p>
    <w:p>
      <w:pPr/>
      <w:r>
        <w:t xml:space="preserve">We treat the assignment problem as a discrete-action Markov decision process. At each step the leading trip in the queue is acted upon: the agent either accepts a solo service (action </w:t>
      </w:r>
      <m:oMath>
        <m:r>
          <m:t xml:space="preserve">a</m:t>
        </m:r>
      </m:oMath>
      <w:r>
        <w:t xml:space="preserve"> = 0) or selects one of ten lookahead candidates as a shared partner (actions 1-10). The state </w:t>
      </w:r>
      <m:oMath>
        <m:r>
          <m:t xml:space="preserve">s</m:t>
        </m:r>
      </m:oMath>
      <w:r>
        <w:t xml:space="preserve"> is a flat vector that, for each of the ten candidates, contains the candidate's pickup distance, drop-off distance, availability indicator, the estimated VMT saving relative to serving both trips solo, and the candidate's own HVFHV </w:t>
      </w:r>
      <w:r>
        <w:t>shared_request_flag</w:t>
      </w:r>
      <w:r>
        <w:t xml:space="preserve"> (1 if the rider opted in to pooling at the platform layer, 0 otherwise). The flag is new in v4: it gives the network access to the trip-side hint that pre-2019 yellow-taxi data did not carry.</w:t>
      </w:r>
    </w:p>
    <w:p>
      <w:pPr/>
      <w:r>
        <w:t xml:space="preserve">Rewards </w:t>
      </w:r>
      <m:oMath>
        <m:sSub>
          <m:e>
            <m:r>
              <m:t xml:space="preserve">R</m:t>
            </m:r>
          </m:e>
          <m:sub>
            <m:r>
              <m:rPr>
                <m:sty m:val="p"/>
              </m:rPr>
              <m:t xml:space="preserve">t</m:t>
            </m:r>
          </m:sub>
        </m:sSub>
      </m:oMath>
      <w:r>
        <w:t xml:space="preserve"> encode two correlated operational priorities — total vehicle miles travelled and rider cost — under a single feasibility filter that hard-rejects any pairing that would increase total fleet mileage. Pickup delay is computed and reported but does not enter the training reward; the v3 delay penalty term and the 10-minute hard cap have been removed.</w:t>
      </w:r>
    </w:p>
    <w:p>
      <w:pPr>
        <w:pStyle w:val="Heading2"/>
      </w:pPr>
      <w:r>
        <w:t>1.2 DRL objective function</w:t>
      </w:r>
    </w:p>
    <w:p>
      <w:pPr/>
      <w:r>
        <w:t xml:space="preserve">The policy </w:t>
      </w:r>
      <m:oMath>
        <m:sSub>
          <m:e>
            <m:r>
              <m:t xml:space="preserve">π</m:t>
            </m:r>
          </m:e>
          <m:sub>
            <m:r>
              <m:t xml:space="preserve">θ</m:t>
            </m:r>
          </m:sub>
        </m:sSub>
      </m:oMath>
      <w:r>
        <w:t xml:space="preserve"> is parameterised by a Double Dueling deep Q-network whose weights are the trainable parameters </w:t>
      </w:r>
      <m:oMath>
        <m:r>
          <m:t xml:space="preserve">θ</m:t>
        </m:r>
      </m:oMath>
      <w:r>
        <w:t>. Training maximises the expected discounted return:</w:t>
      </w:r>
    </w:p>
    <w:p>
      <w:pPr>
        <w:tabs>
          <w:tab w:val="center" w:pos="4680"/>
          <w:tab w:val="right" w:pos="9360"/>
        </w:tabs>
      </w:pPr>
      <w:r>
        <w:tab/>
      </w:r>
      <m:oMath>
        <m:r>
          <m:t xml:space="preserve">J</m:t>
        </m:r>
        <m:d>
          <m:dPr>
            <m:begChr m:val="("/>
            <m:endChr m:val=")"/>
          </m:dPr>
          <m:e>
            <m:r>
              <m:t xml:space="preserve">θ</m:t>
            </m:r>
          </m:e>
        </m:d>
        <m:r>
          <m:rPr>
            <m:sty m:val="p"/>
          </m:rPr>
          <m:t xml:space="preserve"> = </m:t>
        </m:r>
        <m:sSub>
          <m:e>
            <m:r>
              <m:t xml:space="preserve">E</m:t>
            </m:r>
          </m:e>
          <m:sub>
            <m:r>
              <m:t xml:space="preserve">τ</m:t>
            </m:r>
            <m:r>
              <m:rPr>
                <m:sty m:val="p"/>
              </m:rPr>
              <m:t xml:space="preserve"> ~ </m:t>
            </m:r>
            <m:sSub>
              <m:e>
                <m:r>
                  <m:t xml:space="preserve">π</m:t>
                </m:r>
              </m:e>
              <m:sub>
                <m:r>
                  <m:t xml:space="preserve">θ</m:t>
                </m:r>
              </m:sub>
            </m:sSub>
          </m:sub>
        </m:sSub>
        <m:r>
          <m:rPr>
            <m:sty m:val="p"/>
          </m:rPr>
          <m:t xml:space="preserve"> </m:t>
        </m:r>
        <m:d>
          <m:dPr>
            <m:begChr m:val="["/>
            <m:endChr m:val="]"/>
          </m:dPr>
          <m:e>
            <m:nary>
              <m:naryPr>
                <m:chr m:val="∑"/>
                <m:limLoc m:val="undOvr"/>
              </m:naryPr>
              <m:sub>
                <m:r>
                  <m:t xml:space="preserve">t</m:t>
                </m:r>
                <m:r>
                  <m:rPr>
                    <m:sty m:val="p"/>
                  </m:rPr>
                  <m:t xml:space="preserve">=</m:t>
                </m:r>
                <m:r>
                  <m:t xml:space="preserve">0</m:t>
                </m:r>
              </m:sub>
              <m:sup>
                <m:r>
                  <m:t xml:space="preserve">T</m:t>
                </m:r>
              </m:sup>
              <m:e>
                <m:sSup>
                  <m:e>
                    <m:r>
                      <m:t xml:space="preserve">γ</m:t>
                    </m:r>
                  </m:e>
                  <m:sup>
                    <m:r>
                      <m:t xml:space="preserve">t</m:t>
                    </m:r>
                  </m:sup>
                </m:sSup>
                <m:sSub>
                  <m:e>
                    <m:r>
                      <m:t xml:space="preserve">R</m:t>
                    </m:r>
                  </m:e>
                  <m:sub>
                    <m:r>
                      <m:t xml:space="preserve">t</m:t>
                    </m:r>
                  </m:sub>
                </m:sSub>
                <m:d>
                  <m:dPr>
                    <m:begChr m:val="("/>
                    <m:endChr m:val=")"/>
                  </m:dPr>
                  <m:e>
                    <m:sSub>
                      <m:e>
                        <m:r>
                          <m:t xml:space="preserve">s</m:t>
                        </m:r>
                      </m:e>
                      <m:sub>
                        <m:r>
                          <m:t xml:space="preserve">t</m:t>
                        </m:r>
                      </m:sub>
                    </m:sSub>
                    <m:r>
                      <m:rPr>
                        <m:sty m:val="p"/>
                      </m:rPr>
                      <m:t xml:space="preserve">, </m:t>
                    </m:r>
                    <m:sSub>
                      <m:e>
                        <m:r>
                          <m:t xml:space="preserve">a</m:t>
                        </m:r>
                      </m:e>
                      <m:sub>
                        <m:r>
                          <m:t xml:space="preserve">t</m:t>
                        </m:r>
                      </m:sub>
                    </m:sSub>
                  </m:e>
                </m:d>
              </m:e>
            </m:nary>
          </m:e>
        </m:d>
      </m:oMath>
      <w:r>
        <w:tab/>
      </w:r>
      <w:r>
        <w:t xml:space="preserve">(1)</w:t>
      </w:r>
    </w:p>
    <w:p>
      <w:pPr/>
      <w:r>
        <w:t xml:space="preserve">with discount factor </w:t>
      </w:r>
      <m:oMath>
        <m:r>
          <m:t xml:space="preserve">γ</m:t>
        </m:r>
      </m:oMath>
      <w:r>
        <w:t xml:space="preserve"> = 0.99. The optimal action-value function obeys the Bellman optimality recursion:</w:t>
      </w:r>
    </w:p>
    <w:p>
      <w:pPr>
        <w:tabs>
          <w:tab w:val="center" w:pos="4680"/>
          <w:tab w:val="right" w:pos="9360"/>
        </w:tabs>
      </w:pPr>
      <w:r>
        <w:tab/>
      </w:r>
      <m:oMath>
        <m:sSup>
          <m:e>
            <m:r>
              <m:t xml:space="preserve">Q</m:t>
            </m:r>
          </m:e>
          <m:sup>
            <m:r>
              <m:rPr>
                <m:sty m:val="p"/>
              </m:rPr>
              <m:t xml:space="preserve">*</m:t>
            </m:r>
          </m:sup>
        </m:sSup>
        <m:d>
          <m:dPr>
            <m:begChr m:val="("/>
            <m:endChr m:val=")"/>
          </m:dPr>
          <m:e>
            <m:r>
              <m:t xml:space="preserve">s</m:t>
            </m:r>
            <m:r>
              <m:rPr>
                <m:sty m:val="p"/>
              </m:rPr>
              <m:t xml:space="preserve">, </m:t>
            </m:r>
            <m:r>
              <m:t xml:space="preserve">a</m:t>
            </m:r>
          </m:e>
        </m:d>
        <m:r>
          <m:rPr>
            <m:sty m:val="p"/>
          </m:rPr>
          <m:t xml:space="preserve"> = </m:t>
        </m:r>
        <m:r>
          <m:rPr>
            <m:sty m:val="p"/>
          </m:rPr>
          <m:t xml:space="preserve">E</m:t>
        </m:r>
        <m:d>
          <m:dPr>
            <m:begChr m:val="["/>
            <m:endChr m:val="]"/>
          </m:dPr>
          <m:e>
            <m:r>
              <m:t xml:space="preserve">r</m:t>
            </m:r>
            <m:r>
              <m:rPr>
                <m:sty m:val="p"/>
              </m:rPr>
              <m:t xml:space="preserve"> + </m:t>
            </m:r>
            <m:r>
              <m:t xml:space="preserve">γ</m:t>
            </m:r>
            <m:r>
              <m:rPr>
                <m:sty m:val="p"/>
              </m:rPr>
              <m:t xml:space="preserve"> </m:t>
            </m:r>
            <m:sSub>
              <m:e>
                <m:r>
                  <m:rPr>
                    <m:sty m:val="p"/>
                  </m:rPr>
                  <m:t xml:space="preserve">max</m:t>
                </m:r>
              </m:e>
              <m:sub>
                <m:sSup>
                  <m:e>
                    <m:r>
                      <m:t xml:space="preserve">a</m:t>
                    </m:r>
                  </m:e>
                  <m:sup>
                    <m:r>
                      <m:rPr>
                        <m:sty m:val="p"/>
                      </m:rPr>
                      <m:t xml:space="preserve">'</m:t>
                    </m:r>
                  </m:sup>
                </m:sSup>
              </m:sub>
            </m:sSub>
            <m:r>
              <m:rPr>
                <m:sty m:val="p"/>
              </m:rPr>
              <m:t xml:space="preserve"> </m:t>
            </m:r>
            <m:sSup>
              <m:e>
                <m:r>
                  <m:t xml:space="preserve">Q</m:t>
                </m:r>
              </m:e>
              <m:sup>
                <m:r>
                  <m:rPr>
                    <m:sty m:val="p"/>
                  </m:rPr>
                  <m:t xml:space="preserve">*</m:t>
                </m:r>
              </m:sup>
            </m:sSup>
            <m:d>
              <m:dPr>
                <m:begChr m:val="("/>
                <m:endChr m:val=")"/>
              </m:dPr>
              <m:e>
                <m:sSup>
                  <m:e>
                    <m:r>
                      <m:t xml:space="preserve">s</m:t>
                    </m:r>
                  </m:e>
                  <m:sup>
                    <m:r>
                      <m:rPr>
                        <m:sty m:val="p"/>
                      </m:rPr>
                      <m:t xml:space="preserve">'</m:t>
                    </m:r>
                  </m:sup>
                </m:sSup>
                <m:r>
                  <m:rPr>
                    <m:sty m:val="p"/>
                  </m:rPr>
                  <m:t xml:space="preserve">, </m:t>
                </m:r>
                <m:sSup>
                  <m:e>
                    <m:r>
                      <m:t xml:space="preserve">a</m:t>
                    </m:r>
                  </m:e>
                  <m:sup>
                    <m:r>
                      <m:rPr>
                        <m:sty m:val="p"/>
                      </m:rPr>
                      <m:t xml:space="preserve">'</m:t>
                    </m:r>
                  </m:sup>
                </m:sSup>
              </m:e>
            </m:d>
          </m:e>
        </m:d>
      </m:oMath>
      <w:r>
        <w:tab/>
      </w:r>
      <w:r>
        <w:t xml:space="preserve">(2)</w:t>
      </w:r>
    </w:p>
    <w:p>
      <w:pPr/>
      <w:r>
        <w:t>Vanilla DQN approximates the right-hand side of equation (2) by the bootstrap target</w:t>
      </w:r>
    </w:p>
    <w:p>
      <w:pPr>
        <w:tabs>
          <w:tab w:val="center" w:pos="4680"/>
          <w:tab w:val="right" w:pos="9360"/>
        </w:tabs>
      </w:pPr>
      <w:r>
        <w:tab/>
      </w:r>
      <m:oMath>
        <m:r>
          <m:t xml:space="preserve">y</m:t>
        </m:r>
        <m:r>
          <m:rPr>
            <m:sty m:val="p"/>
          </m:rPr>
          <m:t xml:space="preserve"> = </m:t>
        </m:r>
        <m:r>
          <m:t xml:space="preserve">r</m:t>
        </m:r>
        <m:r>
          <m:rPr>
            <m:sty m:val="p"/>
          </m:rPr>
          <m:t xml:space="preserve"> + </m:t>
        </m:r>
        <m:r>
          <m:t xml:space="preserve">γ</m:t>
        </m:r>
        <m:r>
          <m:rPr>
            <m:sty m:val="p"/>
          </m:rPr>
          <m:t xml:space="preserve"> </m:t>
        </m:r>
        <m:sSub>
          <m:e>
            <m:r>
              <m:rPr>
                <m:sty m:val="p"/>
              </m:rPr>
              <m:t xml:space="preserve">max</m:t>
            </m:r>
          </m:e>
          <m:sub>
            <m:sSup>
              <m:e>
                <m:r>
                  <m:t xml:space="preserve">a</m:t>
                </m:r>
              </m:e>
              <m:sup>
                <m:r>
                  <m:rPr>
                    <m:sty m:val="p"/>
                  </m:rPr>
                  <m:t xml:space="preserve">'</m:t>
                </m:r>
              </m:sup>
            </m:sSup>
          </m:sub>
        </m:sSub>
        <m:r>
          <m:rPr>
            <m:sty m:val="p"/>
          </m:rPr>
          <m:t xml:space="preserve"> </m:t>
        </m:r>
        <m:r>
          <m:t xml:space="preserve">Q</m:t>
        </m:r>
        <m:d>
          <m:dPr>
            <m:begChr m:val="("/>
            <m:endChr m:val=")"/>
          </m:dPr>
          <m:e>
            <m:sSup>
              <m:e>
                <m:r>
                  <m:t xml:space="preserve">s</m:t>
                </m:r>
              </m:e>
              <m:sup>
                <m:r>
                  <m:rPr>
                    <m:sty m:val="p"/>
                  </m:rPr>
                  <m:t xml:space="preserve">'</m:t>
                </m:r>
              </m:sup>
            </m:sSup>
            <m:r>
              <m:rPr>
                <m:sty m:val="p"/>
              </m:rPr>
              <m:t xml:space="preserve">, </m:t>
            </m:r>
            <m:sSup>
              <m:e>
                <m:r>
                  <m:t xml:space="preserve">a</m:t>
                </m:r>
              </m:e>
              <m:sup>
                <m:r>
                  <m:rPr>
                    <m:sty m:val="p"/>
                  </m:rPr>
                  <m:t xml:space="preserve">'</m:t>
                </m:r>
              </m:sup>
            </m:sSup>
            <m:r>
              <m:rPr>
                <m:sty m:val="p"/>
              </m:rPr>
              <m:t xml:space="preserve">; </m:t>
            </m:r>
            <m:sSup>
              <m:e>
                <m:r>
                  <m:t xml:space="preserve">θ</m:t>
                </m:r>
              </m:e>
              <m:sup>
                <m:r>
                  <m:rPr>
                    <m:sty m:val="p"/>
                  </m:rPr>
                  <m:t xml:space="preserve">-</m:t>
                </m:r>
              </m:sup>
            </m:sSup>
          </m:e>
        </m:d>
      </m:oMath>
      <w:r>
        <w:tab/>
      </w:r>
      <w:r>
        <w:t xml:space="preserve">(3)</w:t>
      </w:r>
    </w:p>
    <w:p>
      <w:pPr/>
      <w:r>
        <w:t xml:space="preserve">where </w:t>
      </w:r>
      <m:oMath>
        <m:sSup>
          <m:e>
            <m:r>
              <m:t xml:space="preserve">θ</m:t>
            </m:r>
          </m:e>
          <m:sup>
            <m:r>
              <m:rPr>
                <m:sty m:val="p"/>
              </m:rPr>
              <m:t xml:space="preserve">-</m:t>
            </m:r>
          </m:sup>
        </m:sSup>
      </m:oMath>
      <w:r>
        <w:t xml:space="preserve"> denotes the slowly updated target-network parameters. The single max operator in equation (3) is biased upward whenever the action-value estimates carry stochastic noise; a partner choice that briefly receives a higher-than-true Q value can keep being selected, accumulating positive feedback even when the underlying pairing is actually VMT-increasing. The Double DQN target removes this bias by separating action selection (handled by the online network) from action evaluation (handled by the target network), and v4 generalises it to </w:t>
      </w:r>
      <m:oMath>
        <m:r>
          <m:t xml:space="preserve">n</m:t>
        </m:r>
      </m:oMath>
      <w:r>
        <w:t>-step returns:</w:t>
      </w:r>
    </w:p>
    <w:p>
      <w:pPr>
        <w:tabs>
          <w:tab w:val="center" w:pos="4680"/>
          <w:tab w:val="right" w:pos="9360"/>
        </w:tabs>
      </w:pPr>
      <w:r>
        <w:tab/>
      </w:r>
      <m:oMath>
        <m:r>
          <m:t xml:space="preserve">y</m:t>
        </m:r>
        <m:r>
          <m:rPr>
            <m:sty m:val="p"/>
          </m:rPr>
          <m:t xml:space="preserve"> = </m:t>
        </m:r>
        <m:sSub>
          <m:e>
            <m:r>
              <m:t xml:space="preserve">R</m:t>
            </m:r>
          </m:e>
          <m:sub>
            <m:r>
              <m:rPr>
                <m:sty m:val="p"/>
              </m:rPr>
              <m:t xml:space="preserve">t,n</m:t>
            </m:r>
          </m:sub>
        </m:sSub>
        <m:r>
          <m:rPr>
            <m:sty m:val="p"/>
          </m:rPr>
          <m:t xml:space="preserve"> + </m:t>
        </m:r>
        <m:sSup>
          <m:e>
            <m:r>
              <m:t xml:space="preserve">γ</m:t>
            </m:r>
          </m:e>
          <m:sup>
            <m:r>
              <m:t xml:space="preserve">n</m:t>
            </m:r>
          </m:sup>
        </m:sSup>
        <m:r>
          <m:rPr>
            <m:sty m:val="p"/>
          </m:rPr>
          <m:t xml:space="preserve"> </m:t>
        </m:r>
        <m:r>
          <m:t xml:space="preserve">Q</m:t>
        </m:r>
        <m:d>
          <m:dPr>
            <m:begChr m:val="("/>
            <m:endChr m:val=")"/>
          </m:dPr>
          <m:e>
            <m:sSub>
              <m:e>
                <m:r>
                  <m:t xml:space="preserve">s</m:t>
                </m:r>
              </m:e>
              <m:sub>
                <m:r>
                  <m:rPr>
                    <m:sty m:val="p"/>
                  </m:rPr>
                  <m:t xml:space="preserve">t</m:t>
                </m:r>
                <m:r>
                  <m:rPr>
                    <m:sty m:val="p"/>
                  </m:rPr>
                  <m:t xml:space="preserve">+</m:t>
                </m:r>
                <m:r>
                  <m:rPr>
                    <m:sty m:val="p"/>
                  </m:rPr>
                  <m:t xml:space="preserve">n</m:t>
                </m:r>
              </m:sub>
            </m:sSub>
            <m:r>
              <m:rPr>
                <m:sty m:val="p"/>
              </m:rPr>
              <m:t xml:space="preserve">, </m:t>
            </m:r>
            <m:sSub>
              <m:e>
                <m:r>
                  <m:rPr>
                    <m:sty m:val="p"/>
                  </m:rPr>
                  <m:t xml:space="preserve">argmax</m:t>
                </m:r>
              </m:e>
              <m:sub>
                <m:sSup>
                  <m:e>
                    <m:r>
                      <m:t xml:space="preserve">a</m:t>
                    </m:r>
                  </m:e>
                  <m:sup>
                    <m:r>
                      <m:rPr>
                        <m:sty m:val="p"/>
                      </m:rPr>
                      <m:t xml:space="preserve">'</m:t>
                    </m:r>
                  </m:sup>
                </m:sSup>
              </m:sub>
            </m:sSub>
            <m:r>
              <m:rPr>
                <m:sty m:val="p"/>
              </m:rPr>
              <m:t xml:space="preserve"> </m:t>
            </m:r>
            <m:r>
              <m:t xml:space="preserve">Q</m:t>
            </m:r>
            <m:d>
              <m:dPr>
                <m:begChr m:val="("/>
                <m:endChr m:val=")"/>
              </m:dPr>
              <m:e>
                <m:sSub>
                  <m:e>
                    <m:r>
                      <m:t xml:space="preserve">s</m:t>
                    </m:r>
                  </m:e>
                  <m:sub>
                    <m:r>
                      <m:rPr>
                        <m:sty m:val="p"/>
                      </m:rPr>
                      <m:t xml:space="preserve">t</m:t>
                    </m:r>
                    <m:r>
                      <m:rPr>
                        <m:sty m:val="p"/>
                      </m:rPr>
                      <m:t xml:space="preserve">+</m:t>
                    </m:r>
                    <m:r>
                      <m:rPr>
                        <m:sty m:val="p"/>
                      </m:rPr>
                      <m:t xml:space="preserve">n</m:t>
                    </m:r>
                  </m:sub>
                </m:sSub>
                <m:r>
                  <m:rPr>
                    <m:sty m:val="p"/>
                  </m:rPr>
                  <m:t xml:space="preserve">, </m:t>
                </m:r>
                <m:sSup>
                  <m:e>
                    <m:r>
                      <m:t xml:space="preserve">a</m:t>
                    </m:r>
                  </m:e>
                  <m:sup>
                    <m:r>
                      <m:rPr>
                        <m:sty m:val="p"/>
                      </m:rPr>
                      <m:t xml:space="preserve">'</m:t>
                    </m:r>
                  </m:sup>
                </m:sSup>
                <m:r>
                  <m:rPr>
                    <m:sty m:val="p"/>
                  </m:rPr>
                  <m:t xml:space="preserve">; </m:t>
                </m:r>
                <m:r>
                  <m:t xml:space="preserve">θ</m:t>
                </m:r>
              </m:e>
            </m:d>
            <m:r>
              <m:rPr>
                <m:sty m:val="p"/>
              </m:rPr>
              <m:t xml:space="preserve">; </m:t>
            </m:r>
            <m:sSup>
              <m:e>
                <m:r>
                  <m:t xml:space="preserve">θ</m:t>
                </m:r>
              </m:e>
              <m:sup>
                <m:r>
                  <m:rPr>
                    <m:sty m:val="p"/>
                  </m:rPr>
                  <m:t xml:space="preserve">-</m:t>
                </m:r>
              </m:sup>
            </m:sSup>
          </m:e>
        </m:d>
      </m:oMath>
      <w:r>
        <w:tab/>
      </w:r>
      <w:r>
        <w:t xml:space="preserve">(4)</w:t>
      </w:r>
    </w:p>
    <w:p>
      <w:pPr/>
      <w:r>
        <w:t xml:space="preserve">On top of this correction we use a dueling network that splits the final layers into a state-value stream </w:t>
      </w:r>
      <m:oMath>
        <m:r>
          <m:t xml:space="preserve">V</m:t>
        </m:r>
        <m:d>
          <m:dPr>
            <m:begChr m:val="("/>
            <m:endChr m:val=")"/>
          </m:dPr>
          <m:e>
            <m:r>
              <m:t xml:space="preserve">s</m:t>
            </m:r>
          </m:e>
        </m:d>
      </m:oMath>
      <w:r>
        <w:t xml:space="preserve"> and an advantage stream </w:t>
      </w:r>
      <m:oMath>
        <m:r>
          <m:t xml:space="preserve">A</m:t>
        </m:r>
        <m:d>
          <m:dPr>
            <m:begChr m:val="("/>
            <m:endChr m:val=")"/>
          </m:dPr>
          <m:e>
            <m:r>
              <m:t xml:space="preserve">s</m:t>
            </m:r>
            <m:r>
              <m:rPr>
                <m:sty m:val="p"/>
              </m:rPr>
              <m:t xml:space="preserve">, </m:t>
            </m:r>
            <m:r>
              <m:t xml:space="preserve">a</m:t>
            </m:r>
          </m:e>
        </m:d>
      </m:oMath>
      <w:r>
        <w:t>, recombined under the standard mean-centring identity:</w:t>
      </w:r>
    </w:p>
    <w:p>
      <w:pPr>
        <w:tabs>
          <w:tab w:val="center" w:pos="4680"/>
          <w:tab w:val="right" w:pos="9360"/>
        </w:tabs>
      </w:pPr>
      <w:r>
        <w:tab/>
      </w:r>
      <m:oMath>
        <m:r>
          <m:t xml:space="preserve">Q</m:t>
        </m:r>
        <m:d>
          <m:dPr>
            <m:begChr m:val="("/>
            <m:endChr m:val=")"/>
          </m:dPr>
          <m:e>
            <m:r>
              <m:t xml:space="preserve">s</m:t>
            </m:r>
            <m:r>
              <m:rPr>
                <m:sty m:val="p"/>
              </m:rPr>
              <m:t xml:space="preserve">, </m:t>
            </m:r>
            <m:r>
              <m:t xml:space="preserve">a</m:t>
            </m:r>
          </m:e>
        </m:d>
        <m:r>
          <m:rPr>
            <m:sty m:val="p"/>
          </m:rPr>
          <m:t xml:space="preserve"> = </m:t>
        </m:r>
        <m:r>
          <m:t xml:space="preserve">V</m:t>
        </m:r>
        <m:d>
          <m:dPr>
            <m:begChr m:val="("/>
            <m:endChr m:val=")"/>
          </m:dPr>
          <m:e>
            <m:r>
              <m:t xml:space="preserve">s</m:t>
            </m:r>
          </m:e>
        </m:d>
        <m:r>
          <m:rPr>
            <m:sty m:val="p"/>
          </m:rPr>
          <m:t xml:space="preserve"> + </m:t>
        </m:r>
        <m:d>
          <m:dPr>
            <m:begChr m:val="("/>
            <m:endChr m:val=")"/>
          </m:dPr>
          <m:e>
            <m:r>
              <m:t xml:space="preserve">A</m:t>
            </m:r>
            <m:d>
              <m:dPr>
                <m:begChr m:val="("/>
                <m:endChr m:val=")"/>
              </m:dPr>
              <m:e>
                <m:r>
                  <m:t xml:space="preserve">s</m:t>
                </m:r>
                <m:r>
                  <m:rPr>
                    <m:sty m:val="p"/>
                  </m:rPr>
                  <m:t xml:space="preserve">, </m:t>
                </m:r>
                <m:r>
                  <m:t xml:space="preserve">a</m:t>
                </m:r>
              </m:e>
            </m:d>
            <m:r>
              <m:rPr>
                <m:sty m:val="p"/>
              </m:rPr>
              <m:t xml:space="preserve"> - </m:t>
            </m:r>
            <m:f>
              <m:num>
                <m:r>
                  <m:t xml:space="preserve">1</m:t>
                </m:r>
              </m:num>
              <m:den>
                <m:d>
                  <m:dPr>
                    <m:begChr m:val="|"/>
                    <m:endChr m:val="|"/>
                  </m:dPr>
                  <m:e>
                    <m:r>
                      <m:t xml:space="preserve">A</m:t>
                    </m:r>
                  </m:e>
                </m:d>
              </m:den>
            </m:f>
            <m:nary>
              <m:naryPr>
                <m:chr m:val="∑"/>
                <m:limLoc m:val="undOvr"/>
                <m:supHide m:val="1"/>
              </m:naryPr>
              <m:sub>
                <m:sSup>
                  <m:e>
                    <m:r>
                      <m:t xml:space="preserve">a</m:t>
                    </m:r>
                  </m:e>
                  <m:sup>
                    <m:r>
                      <m:rPr>
                        <m:sty m:val="p"/>
                      </m:rPr>
                      <m:t xml:space="preserve">'</m:t>
                    </m:r>
                  </m:sup>
                </m:sSup>
              </m:sub>
              <m:sup/>
              <m:e>
                <m:r>
                  <m:t xml:space="preserve">A</m:t>
                </m:r>
                <m:d>
                  <m:dPr>
                    <m:begChr m:val="("/>
                    <m:endChr m:val=")"/>
                  </m:dPr>
                  <m:e>
                    <m:r>
                      <m:t xml:space="preserve">s</m:t>
                    </m:r>
                    <m:r>
                      <m:rPr>
                        <m:sty m:val="p"/>
                      </m:rPr>
                      <m:t xml:space="preserve">, </m:t>
                    </m:r>
                    <m:sSup>
                      <m:e>
                        <m:r>
                          <m:t xml:space="preserve">a</m:t>
                        </m:r>
                      </m:e>
                      <m:sup>
                        <m:r>
                          <m:rPr>
                            <m:sty m:val="p"/>
                          </m:rPr>
                          <m:t xml:space="preserve">'</m:t>
                        </m:r>
                      </m:sup>
                    </m:sSup>
                  </m:e>
                </m:d>
              </m:e>
            </m:nary>
          </m:e>
        </m:d>
      </m:oMath>
      <w:r>
        <w:tab/>
      </w:r>
      <w:r>
        <w:t xml:space="preserve">(5)</w:t>
      </w:r>
    </w:p>
    <w:p>
      <w:pPr>
        <w:pStyle w:val="Heading2"/>
      </w:pPr>
      <w:r>
        <w:t>1.3 Reward function design (two-objective)</w:t>
      </w:r>
    </w:p>
    <w:p>
      <w:pPr/>
      <w:r>
        <w:t>The training reward in v4 decomposes into three cases. A solo decision earns the neutral baseline:</w:t>
      </w:r>
    </w:p>
    <w:p>
      <w:pPr>
        <w:tabs>
          <w:tab w:val="center" w:pos="4680"/>
          <w:tab w:val="right" w:pos="9360"/>
        </w:tabs>
      </w:pPr>
      <w:r>
        <w:tab/>
      </w:r>
      <m:oMath>
        <m:sSub>
          <m:e>
            <m:r>
              <m:t xml:space="preserve">R</m:t>
            </m:r>
          </m:e>
          <m:sub>
            <m:r>
              <m:rPr>
                <m:sty m:val="p"/>
              </m:rPr>
              <m:t xml:space="preserve">solo</m:t>
            </m:r>
          </m:sub>
        </m:sSub>
        <m:r>
          <m:rPr>
            <m:sty m:val="p"/>
          </m:rPr>
          <m:t xml:space="preserve"> = 0</m:t>
        </m:r>
      </m:oMath>
      <w:r>
        <w:tab/>
      </w:r>
      <w:r>
        <w:t xml:space="preserve">(6)</w:t>
      </w:r>
    </w:p>
    <w:p>
      <w:pPr/>
      <w:r>
        <w:t>A pairing whose merged route covers more vehicle miles than serving the two requests separately is hard-rejected with a fixed penalty (this is the only feasibility filter in v4):</w:t>
      </w:r>
    </w:p>
    <w:p>
      <w:pPr>
        <w:tabs>
          <w:tab w:val="center" w:pos="4680"/>
          <w:tab w:val="right" w:pos="9360"/>
        </w:tabs>
      </w:pPr>
      <w:r>
        <w:tab/>
      </w:r>
      <m:oMath>
        <m:sSub>
          <m:e>
            <m:r>
              <m:t xml:space="preserve">R</m:t>
            </m:r>
          </m:e>
          <m:sub>
            <m:r>
              <m:rPr>
                <m:sty m:val="p"/>
              </m:rPr>
              <m:t xml:space="preserve">vmt-reject</m:t>
            </m:r>
          </m:sub>
        </m:sSub>
        <m:r>
          <m:rPr>
            <m:sty m:val="p"/>
          </m:rPr>
          <m:t xml:space="preserve"> = -</m:t>
        </m:r>
        <m:sSub>
          <m:e>
            <m:r>
              <m:t xml:space="preserve">P</m:t>
            </m:r>
          </m:e>
          <m:sub>
            <m:r>
              <m:rPr>
                <m:sty m:val="p"/>
              </m:rPr>
              <m:t xml:space="preserve">vmt</m:t>
            </m:r>
          </m:sub>
        </m:sSub>
        <m:r>
          <m:rPr>
            <m:sty m:val="p"/>
          </m:rPr>
          <m:t xml:space="preserve">    when    </m:t>
        </m:r>
        <m:sSub>
          <m:e>
            <m:r>
              <m:t xml:space="preserve">V</m:t>
            </m:r>
          </m:e>
          <m:sub>
            <m:r>
              <m:rPr>
                <m:sty m:val="p"/>
              </m:rPr>
              <m:t xml:space="preserve">shared</m:t>
            </m:r>
          </m:sub>
        </m:sSub>
        <m:r>
          <m:rPr>
            <m:sty m:val="p"/>
          </m:rPr>
          <m:t xml:space="preserve"> &gt; </m:t>
        </m:r>
        <m:sSub>
          <m:e>
            <m:r>
              <m:t xml:space="preserve">V</m:t>
            </m:r>
          </m:e>
          <m:sub>
            <m:r>
              <m:rPr>
                <m:sty m:val="p"/>
              </m:rPr>
              <m:t xml:space="preserve">solo,i</m:t>
            </m:r>
          </m:sub>
        </m:sSub>
        <m:r>
          <m:rPr>
            <m:sty m:val="p"/>
          </m:rPr>
          <m:t xml:space="preserve"> + </m:t>
        </m:r>
        <m:sSub>
          <m:e>
            <m:r>
              <m:t xml:space="preserve">V</m:t>
            </m:r>
          </m:e>
          <m:sub>
            <m:r>
              <m:rPr>
                <m:sty m:val="p"/>
              </m:rPr>
              <m:t xml:space="preserve">solo,j</m:t>
            </m:r>
          </m:sub>
        </m:sSub>
      </m:oMath>
      <w:r>
        <w:tab/>
      </w:r>
      <w:r>
        <w:t xml:space="preserve">(7)</w:t>
      </w:r>
    </w:p>
    <w:p>
      <w:pPr/>
      <w:r>
        <w:t>A successful share is rewarded by a weighted sum of VMT saved and fare saved:</w:t>
      </w:r>
    </w:p>
    <w:p>
      <w:pPr>
        <w:tabs>
          <w:tab w:val="center" w:pos="4680"/>
          <w:tab w:val="right" w:pos="9360"/>
        </w:tabs>
      </w:pPr>
      <w:r>
        <w:tab/>
      </w:r>
      <m:oMath>
        <m:sSub>
          <m:e>
            <m:r>
              <m:t xml:space="preserve">R</m:t>
            </m:r>
          </m:e>
          <m:sub>
            <m:r>
              <m:rPr>
                <m:sty m:val="p"/>
              </m:rPr>
              <m:t xml:space="preserve">share</m:t>
            </m:r>
          </m:sub>
        </m:sSub>
        <m:r>
          <m:rPr>
            <m:sty m:val="p"/>
          </m:rPr>
          <m:t xml:space="preserve"> = </m:t>
        </m:r>
        <m:sSub>
          <m:e>
            <m:r>
              <m:t xml:space="preserve">w</m:t>
            </m:r>
          </m:e>
          <m:sub>
            <m:r>
              <m:rPr>
                <m:sty m:val="p"/>
              </m:rPr>
              <m:t xml:space="preserve">v</m:t>
            </m:r>
          </m:sub>
        </m:sSub>
        <m:d>
          <m:dPr>
            <m:begChr m:val="("/>
            <m:endChr m:val=")"/>
          </m:dPr>
          <m:e>
            <m:sSub>
              <m:e>
                <m:r>
                  <m:t xml:space="preserve">V</m:t>
                </m:r>
              </m:e>
              <m:sub>
                <m:r>
                  <m:rPr>
                    <m:sty m:val="p"/>
                  </m:rPr>
                  <m:t xml:space="preserve">solo</m:t>
                </m:r>
              </m:sub>
            </m:sSub>
            <m:r>
              <m:rPr>
                <m:sty m:val="p"/>
              </m:rPr>
              <m:t xml:space="preserve"> - </m:t>
            </m:r>
            <m:sSub>
              <m:e>
                <m:r>
                  <m:t xml:space="preserve">V</m:t>
                </m:r>
              </m:e>
              <m:sub>
                <m:r>
                  <m:rPr>
                    <m:sty m:val="p"/>
                  </m:rPr>
                  <m:t xml:space="preserve">shared</m:t>
                </m:r>
              </m:sub>
            </m:sSub>
          </m:e>
        </m:d>
        <m:r>
          <m:rPr>
            <m:sty m:val="p"/>
          </m:rPr>
          <m:t xml:space="preserve"> + </m:t>
        </m:r>
        <m:sSub>
          <m:e>
            <m:r>
              <m:t xml:space="preserve">w</m:t>
            </m:r>
          </m:e>
          <m:sub>
            <m:r>
              <m:rPr>
                <m:sty m:val="p"/>
              </m:rPr>
              <m:t xml:space="preserve">c</m:t>
            </m:r>
          </m:sub>
        </m:sSub>
        <m:d>
          <m:dPr>
            <m:begChr m:val="("/>
            <m:endChr m:val=")"/>
          </m:dPr>
          <m:e>
            <m:sSub>
              <m:e>
                <m:r>
                  <m:t xml:space="preserve">C</m:t>
                </m:r>
              </m:e>
              <m:sub>
                <m:r>
                  <m:rPr>
                    <m:sty m:val="p"/>
                  </m:rPr>
                  <m:t xml:space="preserve">solo</m:t>
                </m:r>
              </m:sub>
            </m:sSub>
            <m:r>
              <m:rPr>
                <m:sty m:val="p"/>
              </m:rPr>
              <m:t xml:space="preserve"> - </m:t>
            </m:r>
            <m:sSub>
              <m:e>
                <m:r>
                  <m:t xml:space="preserve">C</m:t>
                </m:r>
              </m:e>
              <m:sub>
                <m:r>
                  <m:rPr>
                    <m:sty m:val="p"/>
                  </m:rPr>
                  <m:t xml:space="preserve">shared</m:t>
                </m:r>
              </m:sub>
            </m:sSub>
          </m:e>
        </m:d>
      </m:oMath>
      <w:r>
        <w:tab/>
      </w:r>
      <w:r>
        <w:t xml:space="preserve">(8)</w:t>
      </w:r>
    </w:p>
    <w:p>
      <w:pPr/>
      <w:r>
        <w:t xml:space="preserve">The weights used during training are </w:t>
      </w:r>
      <m:oMath>
        <m:sSub>
          <m:e>
            <m:r>
              <m:t xml:space="preserve">w</m:t>
            </m:r>
          </m:e>
          <m:sub>
            <m:r>
              <m:rPr>
                <m:sty m:val="p"/>
              </m:rPr>
              <m:t xml:space="preserve">v</m:t>
            </m:r>
          </m:sub>
        </m:sSub>
      </m:oMath>
      <w:r>
        <w:t xml:space="preserve"> = 5.0 and </w:t>
      </w:r>
      <m:oMath>
        <m:sSub>
          <m:e>
            <m:r>
              <m:t xml:space="preserve">w</m:t>
            </m:r>
          </m:e>
          <m:sub>
            <m:r>
              <m:rPr>
                <m:sty m:val="p"/>
              </m:rPr>
              <m:t xml:space="preserve">c</m:t>
            </m:r>
          </m:sub>
        </m:sSub>
      </m:oMath>
      <w:r>
        <w:t xml:space="preserve"> = 1.0. The shared fare is set at </w:t>
      </w:r>
      <w:r>
        <w:t xml:space="preserve">65% of the solo fare with a per-mile rate of $9.25, so each successful pairing transfers 35% of the combined solo fare back to the two riders. The penalty </w:t>
      </w:r>
      <m:oMath>
        <m:sSub>
          <m:e>
            <m:r>
              <m:t xml:space="preserve">P</m:t>
            </m:r>
          </m:e>
          <m:sub>
            <m:r>
              <m:rPr>
                <m:sty m:val="p"/>
              </m:rPr>
              <m:t xml:space="preserve">vmt</m:t>
            </m:r>
          </m:sub>
        </m:sSub>
      </m:oMath>
      <w:r>
        <w:t xml:space="preserve"> = 1000 sits one to two orders of magnitude above any feasible reward, so the VMT-reject case dominates the Q-table whenever the constraint is violated.</w:t>
      </w:r>
    </w:p>
    <w:p>
      <w:pPr/>
      <w:r>
        <w:t>The discount setting (35% off solo) sits at the centre of the 30-50% empirical band identified by Bösch et al. (2017), Shaheen &amp; Cohen (2018), de Ruijter et al. (2023) and Sánchez et al. (2024). Lower discounts fail to compensate riders for the in-vehicle time penalty of pooling; higher discounts erode the operator margin past the point where supply remains stable.</w:t>
      </w:r>
    </w:p>
    <w:p>
      <w:pPr/>
      <w:r>
        <w:t>Pickup delay is computed by the environment and reported in the spreadsheet output, but it does not enter the training reward. This is a deliberate departure from v3, where a 10-minute hard cap and a per-minute soft penalty appeared in equation (9) of the v3 analysis. The v4 reasoning is that the two main objectives — fewer fleet miles, lower rider cost — are strongly positively correlated with low detour time on the realistic HVFHV demand distribution; explicit delay shaping was costing us VMT performance without buying meaningful additional rider comfort.</w:t>
      </w:r>
    </w:p>
    <w:p>
      <w:pPr>
        <w:pStyle w:val="Heading2"/>
      </w:pPr>
      <w:r>
        <w:t>1.4 Prioritised replay and N-step returns</w:t>
      </w:r>
    </w:p>
    <w:p>
      <w:pPr/>
      <w:r>
        <w:t>Successful shares are rare events on the v4 dataset (the rider-share rate is in the same order of magnitude as the v3 rate but the absolute number of negative or near-zero samples is twenty times larger). Two algorithmic changes target this directly. Prioritised experience replay (Schaul et al., 2016) stores transitions in a sum-tree keyed by their absolute TD-error and samples them in proportion to:</w:t>
      </w:r>
    </w:p>
    <w:p>
      <w:pPr>
        <w:tabs>
          <w:tab w:val="center" w:pos="4680"/>
          <w:tab w:val="right" w:pos="9360"/>
        </w:tabs>
      </w:pPr>
      <w:r>
        <w:tab/>
      </w:r>
      <m:oMath>
        <m:sSub>
          <m:e>
            <m:r>
              <m:t xml:space="preserve">p</m:t>
            </m:r>
          </m:e>
          <m:sub>
            <m:r>
              <m:rPr>
                <m:sty m:val="p"/>
              </m:rPr>
              <m:t xml:space="preserve">i</m:t>
            </m:r>
          </m:sub>
        </m:sSub>
        <m:r>
          <m:rPr>
            <m:sty m:val="p"/>
          </m:rPr>
          <m:t xml:space="preserve"> = </m:t>
        </m:r>
        <m:sSup>
          <m:e>
            <m:d>
              <m:dPr>
                <m:begChr m:val="("/>
                <m:endChr m:val=")"/>
              </m:dPr>
              <m:e>
                <m:d>
                  <m:dPr>
                    <m:begChr m:val="|"/>
                    <m:endChr m:val="|"/>
                  </m:dPr>
                  <m:e>
                    <m:sSub>
                      <m:e>
                        <m:r>
                          <m:t xml:space="preserve">δ</m:t>
                        </m:r>
                      </m:e>
                      <m:sub>
                        <m:r>
                          <m:rPr>
                            <m:sty m:val="p"/>
                          </m:rPr>
                          <m:t xml:space="preserve">i</m:t>
                        </m:r>
                      </m:sub>
                    </m:sSub>
                  </m:e>
                </m:d>
                <m:r>
                  <m:rPr>
                    <m:sty m:val="p"/>
                  </m:rPr>
                  <m:t xml:space="preserve"> + </m:t>
                </m:r>
                <m:r>
                  <m:t xml:space="preserve">ε</m:t>
                </m:r>
              </m:e>
            </m:d>
          </m:e>
          <m:sup>
            <m:sSub>
              <m:e>
                <m:r>
                  <m:t xml:space="preserve">α</m:t>
                </m:r>
              </m:e>
              <m:sub>
                <m:r>
                  <m:rPr>
                    <m:sty m:val="p"/>
                  </m:rPr>
                  <m:t xml:space="preserve">PER</m:t>
                </m:r>
              </m:sub>
            </m:sSub>
          </m:sup>
        </m:sSup>
      </m:oMath>
      <w:r>
        <w:tab/>
      </w:r>
      <w:r>
        <w:t xml:space="preserve">(9)</w:t>
      </w:r>
    </w:p>
    <w:p>
      <w:pPr/>
      <w:r>
        <w:t xml:space="preserve">with </w:t>
      </w:r>
      <m:oMath>
        <m:sSub>
          <m:e>
            <m:r>
              <m:t xml:space="preserve">α</m:t>
            </m:r>
          </m:e>
          <m:sub>
            <m:r>
              <m:rPr>
                <m:sty m:val="p"/>
              </m:rPr>
              <m:t xml:space="preserve">PER</m:t>
            </m:r>
          </m:sub>
        </m:sSub>
      </m:oMath>
      <w:r>
        <w:t xml:space="preserve"> = 0.6. To compensate for the resulting non-uniform sample distribution, the loss is reweighted by the importance-sampling correction</w:t>
      </w:r>
    </w:p>
    <w:p>
      <w:pPr>
        <w:tabs>
          <w:tab w:val="center" w:pos="4680"/>
          <w:tab w:val="right" w:pos="9360"/>
        </w:tabs>
      </w:pPr>
      <w:r>
        <w:tab/>
      </w:r>
      <m:oMath>
        <m:sSub>
          <m:e>
            <m:r>
              <m:t xml:space="preserve">w</m:t>
            </m:r>
          </m:e>
          <m:sub>
            <m:r>
              <m:rPr>
                <m:sty m:val="p"/>
              </m:rPr>
              <m:t xml:space="preserve">i</m:t>
            </m:r>
          </m:sub>
        </m:sSub>
        <m:r>
          <m:rPr>
            <m:sty m:val="p"/>
          </m:rPr>
          <m:t xml:space="preserve"> = </m:t>
        </m:r>
        <m:sSup>
          <m:e>
            <m:d>
              <m:dPr>
                <m:begChr m:val="("/>
                <m:endChr m:val=")"/>
              </m:dPr>
              <m:e>
                <m:r>
                  <m:t xml:space="preserve">N</m:t>
                </m:r>
                <m:r>
                  <m:rPr>
                    <m:sty m:val="p"/>
                  </m:rPr>
                  <m:t xml:space="preserve"> · </m:t>
                </m:r>
                <m:f>
                  <m:num>
                    <m:sSub>
                      <m:e>
                        <m:r>
                          <m:t xml:space="preserve">p</m:t>
                        </m:r>
                      </m:e>
                      <m:sub>
                        <m:r>
                          <m:rPr>
                            <m:sty m:val="p"/>
                          </m:rPr>
                          <m:t xml:space="preserve">i</m:t>
                        </m:r>
                      </m:sub>
                    </m:sSub>
                  </m:num>
                  <m:den>
                    <m:nary>
                      <m:naryPr>
                        <m:chr m:val="∑"/>
                        <m:limLoc m:val="undOvr"/>
                        <m:supHide m:val="1"/>
                      </m:naryPr>
                      <m:sub>
                        <m:r>
                          <m:rPr>
                            <m:sty m:val="p"/>
                          </m:rPr>
                          <m:t xml:space="preserve">j</m:t>
                        </m:r>
                      </m:sub>
                      <m:sup/>
                      <m:e>
                        <m:sSub>
                          <m:e>
                            <m:r>
                              <m:t xml:space="preserve">p</m:t>
                            </m:r>
                          </m:e>
                          <m:sub>
                            <m:r>
                              <m:rPr>
                                <m:sty m:val="p"/>
                              </m:rPr>
                              <m:t xml:space="preserve">j</m:t>
                            </m:r>
                          </m:sub>
                        </m:sSub>
                      </m:e>
                    </m:nary>
                  </m:den>
                </m:f>
              </m:e>
            </m:d>
          </m:e>
          <m:sup>
            <m:r>
              <m:rPr>
                <m:sty m:val="p"/>
              </m:rPr>
              <m:t xml:space="preserve">-</m:t>
            </m:r>
          </m:sup>
        </m:sSup>
        <m:sSub>
          <m:e>
            <m:r>
              <m:t xml:space="preserve">β</m:t>
            </m:r>
          </m:e>
          <m:sub>
            <m:r>
              <m:rPr>
                <m:sty m:val="p"/>
              </m:rPr>
              <m:t xml:space="preserve">PER</m:t>
            </m:r>
          </m:sub>
        </m:sSub>
      </m:oMath>
      <w:r>
        <w:tab/>
      </w:r>
      <w:r>
        <w:t xml:space="preserve">(10)</w:t>
      </w:r>
    </w:p>
    <w:p>
      <w:pPr/>
      <w:r>
        <w:t xml:space="preserve">with </w:t>
      </w:r>
      <m:oMath>
        <m:sSub>
          <m:e>
            <m:r>
              <m:t xml:space="preserve">β</m:t>
            </m:r>
          </m:e>
          <m:sub>
            <m:r>
              <m:rPr>
                <m:sty m:val="p"/>
              </m:rPr>
              <m:t xml:space="preserve">PER</m:t>
            </m:r>
          </m:sub>
        </m:sSub>
      </m:oMath>
      <w:r>
        <w:t xml:space="preserve"> linearly annealed from 0.4 toward 1.0 across training, matching the schedule recommended in the original PER paper and adopted in Hessel et al. (2018).</w:t>
      </w:r>
    </w:p>
    <w:p>
      <w:pPr/>
      <w:r>
        <w:t xml:space="preserve">Multi-step bootstrap targets (Sutton, 1988) shorten the credit assignment chain by accumulating </w:t>
      </w:r>
      <m:oMath>
        <m:r>
          <m:t xml:space="preserve">n</m:t>
        </m:r>
      </m:oMath>
      <w:r>
        <w:t xml:space="preserve"> = 3 actually-realised rewards before bootstrapping with the target network's value estimate at the end of the window. The combined Double DQN + dueling + PER + 3-step agent corresponds to four of the six Rainbow ingredients (Hessel et al., 2018), leaving distributional value estimation and noisy nets for future work.</w:t>
      </w:r>
    </w:p>
    <w:p>
      <w:pPr>
        <w:pStyle w:val="Heading2"/>
      </w:pPr>
      <w:r>
        <w:t>1.5 Inference procedure</w:t>
      </w:r>
    </w:p>
    <w:p>
      <w:pPr/>
      <w:r>
        <w:t xml:space="preserve">Inference uses a strictly greedy policy with </w:t>
      </w:r>
      <m:oMath>
        <m:r>
          <m:t xml:space="preserve">ε</m:t>
        </m:r>
      </m:oMath>
      <w:r>
        <w:t xml:space="preserve"> = 0:</w:t>
      </w:r>
    </w:p>
    <w:p>
      <w:pPr>
        <w:tabs>
          <w:tab w:val="center" w:pos="4680"/>
          <w:tab w:val="right" w:pos="9360"/>
        </w:tabs>
      </w:pPr>
      <w:r>
        <w:tab/>
      </w:r>
      <m:oMath>
        <m:r>
          <m:t xml:space="preserve">π</m:t>
        </m:r>
        <m:d>
          <m:dPr>
            <m:begChr m:val="("/>
            <m:endChr m:val=")"/>
          </m:dPr>
          <m:e>
            <m:r>
              <m:t xml:space="preserve">s</m:t>
            </m:r>
          </m:e>
        </m:d>
        <m:r>
          <m:rPr>
            <m:sty m:val="p"/>
          </m:rPr>
          <m:t xml:space="preserve"> = </m:t>
        </m:r>
        <m:sSub>
          <m:e>
            <m:r>
              <m:rPr>
                <m:sty m:val="p"/>
              </m:rPr>
              <m:t xml:space="preserve">argmax</m:t>
            </m:r>
          </m:e>
          <m:sub>
            <m:r>
              <m:t xml:space="preserve">a</m:t>
            </m:r>
          </m:sub>
        </m:sSub>
        <m:r>
          <m:rPr>
            <m:sty m:val="p"/>
          </m:rPr>
          <m:t xml:space="preserve"> </m:t>
        </m:r>
        <m:r>
          <m:t xml:space="preserve">Q</m:t>
        </m:r>
        <m:d>
          <m:dPr>
            <m:begChr m:val="("/>
            <m:endChr m:val=")"/>
          </m:dPr>
          <m:e>
            <m:r>
              <m:t xml:space="preserve">s</m:t>
            </m:r>
            <m:r>
              <m:rPr>
                <m:sty m:val="p"/>
              </m:rPr>
              <m:t xml:space="preserve">, </m:t>
            </m:r>
            <m:r>
              <m:t xml:space="preserve">a</m:t>
            </m:r>
            <m:r>
              <m:rPr>
                <m:sty m:val="p"/>
              </m:rPr>
              <m:t xml:space="preserve">; </m:t>
            </m:r>
            <m:r>
              <m:t xml:space="preserve">θ</m:t>
            </m:r>
          </m:e>
        </m:d>
      </m:oMath>
      <w:r>
        <w:tab/>
      </w:r>
      <w:r>
        <w:t xml:space="preserve">(11)</w:t>
      </w:r>
    </w:p>
    <w:p>
      <w:pPr/>
      <w:r>
        <w:t xml:space="preserve">The trained network is evaluated on a held-out week of HVFHV demand (2019-04-08 to 2019-04-14, </w:t>
      </w:r>
      <w:r>
        <w:t xml:space="preserve">15,103 trips). Each leading trip is either committed to solo service or paired with one of the next ten candidates; the chosen pair is removed from the queue and the next unassigned trip becomes the new leader. The per-decision record is written to </w:t>
      </w:r>
      <w:r>
        <w:t>trip_execution_plan_v4.xlsx</w:t>
      </w:r>
      <w:r>
        <w:t>. Per-rider in-vehicle delay is computed and reported in that spreadsheet for descriptive purposes but plays no role in the training reward.</w:t>
      </w:r>
    </w:p>
    <w:p>
      <w:pPr>
        <w:pStyle w:val="Heading1"/>
      </w:pPr>
      <w:r>
        <w:t>2. Experiments, Results and Discussion</w:t>
      </w:r>
    </w:p>
    <w:p>
      <w:pPr>
        <w:pStyle w:val="Heading2"/>
      </w:pPr>
      <w:r>
        <w:t>2.1 Experimental setup</w:t>
      </w:r>
    </w:p>
    <w:p>
      <w:pPr/>
      <w:r>
        <w:t xml:space="preserve">Training proceeded under cumulative checkpointing, with </w:t>
      </w:r>
      <m:oMath>
        <m:r>
          <m:t xml:space="preserve">ε</m:t>
        </m:r>
      </m:oMath>
      <w:r>
        <w:t xml:space="preserve"> annealed from 1.0 toward </w:t>
      </w:r>
      <m:oMath>
        <m:sSub>
          <m:e>
            <m:r>
              <m:t xml:space="preserve">ε</m:t>
            </m:r>
          </m:e>
          <m:sub>
            <m:r>
              <m:rPr>
                <m:sty m:val="p"/>
              </m:rPr>
              <m:t xml:space="preserve">min</m:t>
            </m:r>
          </m:sub>
        </m:sSub>
      </m:oMath>
      <w:r>
        <w:t xml:space="preserve"> = 0.05 at a per-episode multiplicative rate of 0.97. The target network was updated by Polyak averaging (soft-update coefficient 0.005), gradients were clipped at norm 10, and the prioritised buffer held the last 50,000 N-step transitions. Training was terminated by the early-stop controller after the 10-episode reward moving average remained below its best value for 80 consecutive episodes; the checkpoint analysed here is the policy held at that early-stop point.</w:t>
      </w:r>
    </w:p>
    <w:p>
      <w:pPr>
        <w:jc w:val="center"/>
      </w:pPr>
      <w:r>
        <w:drawing>
          <wp:inline xmlns:a="http://schemas.openxmlformats.org/drawingml/2006/main" xmlns:pic="http://schemas.openxmlformats.org/drawingml/2006/picture">
            <wp:extent cx="5303520" cy="2727525"/>
            <wp:docPr id="1" name="Picture 1"/>
            <wp:cNvGraphicFramePr>
              <a:graphicFrameLocks noChangeAspect="1"/>
            </wp:cNvGraphicFramePr>
            <a:graphic>
              <a:graphicData uri="http://schemas.openxmlformats.org/drawingml/2006/picture">
                <pic:pic>
                  <pic:nvPicPr>
                    <pic:cNvPr id="0" name="reward_curve_v4.png"/>
                    <pic:cNvPicPr/>
                  </pic:nvPicPr>
                  <pic:blipFill>
                    <a:blip r:embed="rId9"/>
                    <a:stretch>
                      <a:fillRect/>
                    </a:stretch>
                  </pic:blipFill>
                  <pic:spPr>
                    <a:xfrm>
                      <a:off x="0" y="0"/>
                      <a:ext cx="5303520" cy="2727525"/>
                    </a:xfrm>
                    <a:prstGeom prst="rect"/>
                  </pic:spPr>
                </pic:pic>
              </a:graphicData>
            </a:graphic>
          </wp:inline>
        </w:drawing>
      </w:r>
    </w:p>
    <w:p>
      <w:pPr>
        <w:jc w:val="center"/>
      </w:pPr>
      <w:r>
        <w:rPr>
          <w:i/>
        </w:rPr>
        <w:t>Figure 1. Per-episode reward and 10-episode moving average. The dashed vertical line marks the episode at which the moving average attained its best value; training was halted by the plateau controller eighty episodes after that point.</w:t>
      </w:r>
    </w:p>
    <w:p>
      <w:pPr>
        <w:pStyle w:val="Heading2"/>
      </w:pPr>
      <w:r>
        <w:t>2.2 Decision composition</w:t>
      </w:r>
    </w:p>
    <w:p>
      <w:pPr/>
      <w:r>
        <w:t>On the held-out test week, the greedy policy produced 13,067 decisions covering 15,103 riders. Of those, 4,072 were served via shared trips and 11,031 were served solo, giving a rider-level share rate of 26.96%. The breakdown of decisions is shown in Table 1.</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Decision outcome</w:t>
            </w:r>
          </w:p>
        </w:tc>
        <w:tc>
          <w:tcPr>
            <w:tcW w:type="dxa" w:w="4320"/>
          </w:tcPr>
          <w:p>
            <w:r/>
            <w:r>
              <w:rPr>
                <w:b/>
              </w:rPr>
              <w:t>Count</w:t>
            </w:r>
          </w:p>
        </w:tc>
      </w:tr>
      <w:tr>
        <w:tc>
          <w:tcPr>
            <w:tcW w:type="dxa" w:w="4320"/>
          </w:tcPr>
          <w:p>
            <w:r>
              <w:t>Successful share</w:t>
            </w:r>
          </w:p>
        </w:tc>
        <w:tc>
          <w:tcPr>
            <w:tcW w:type="dxa" w:w="4320"/>
          </w:tcPr>
          <w:p>
            <w:r>
              <w:t>2,036</w:t>
            </w:r>
          </w:p>
        </w:tc>
      </w:tr>
      <w:tr>
        <w:tc>
          <w:tcPr>
            <w:tcW w:type="dxa" w:w="4320"/>
          </w:tcPr>
          <w:p>
            <w:r>
              <w:t>Solo service (chosen)</w:t>
            </w:r>
          </w:p>
        </w:tc>
        <w:tc>
          <w:tcPr>
            <w:tcW w:type="dxa" w:w="4320"/>
          </w:tcPr>
          <w:p>
            <w:r>
              <w:t>11,031</w:t>
            </w:r>
          </w:p>
        </w:tc>
      </w:tr>
      <w:tr>
        <w:tc>
          <w:tcPr>
            <w:tcW w:type="dxa" w:w="4320"/>
          </w:tcPr>
          <w:p>
            <w:r>
              <w:t>Solo (no feasible partner)</w:t>
            </w:r>
          </w:p>
        </w:tc>
        <w:tc>
          <w:tcPr>
            <w:tcW w:type="dxa" w:w="4320"/>
          </w:tcPr>
          <w:p>
            <w:r>
              <w:t>0</w:t>
            </w:r>
          </w:p>
        </w:tc>
      </w:tr>
      <w:tr>
        <w:tc>
          <w:tcPr>
            <w:tcW w:type="dxa" w:w="4320"/>
          </w:tcPr>
          <w:p>
            <w:r>
              <w:t>Solo (after VMT-increase rejection)</w:t>
            </w:r>
          </w:p>
        </w:tc>
        <w:tc>
          <w:tcPr>
            <w:tcW w:type="dxa" w:w="4320"/>
          </w:tcPr>
          <w:p>
            <w:r>
              <w:t>0</w:t>
            </w:r>
          </w:p>
        </w:tc>
      </w:tr>
      <w:tr>
        <w:tc>
          <w:tcPr>
            <w:tcW w:type="dxa" w:w="4320"/>
          </w:tcPr>
          <w:p>
            <w:r>
              <w:t>Total decisions</w:t>
            </w:r>
          </w:p>
        </w:tc>
        <w:tc>
          <w:tcPr>
            <w:tcW w:type="dxa" w:w="4320"/>
          </w:tcPr>
          <w:p>
            <w:r>
              <w:t>13,067</w:t>
            </w:r>
          </w:p>
        </w:tc>
      </w:tr>
    </w:tbl>
    <w:p>
      <w:pPr>
        <w:pStyle w:val="Heading2"/>
      </w:pPr>
      <w:r>
        <w:t>2.3 Vehicle miles travelled</w:t>
      </w:r>
    </w:p>
    <w:p>
      <w:pPr/>
      <w:r>
        <w:t>Compared to a counterfactual in which every rider is served solo, the agent's policy drives the fleet a total of 43,493.8 mi against the solo baseline of 46,019.7 mi. The net change is 2,525.9 mi fewer miles, equivalent to a 5.49% reduction in total VMT. Table 2 summarises the figures.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Quantity</w:t>
            </w:r>
          </w:p>
        </w:tc>
        <w:tc>
          <w:tcPr>
            <w:tcW w:type="dxa" w:w="4320"/>
          </w:tcPr>
          <w:p>
            <w:r/>
            <w:r>
              <w:rPr>
                <w:b/>
              </w:rPr>
              <w:t>Value</w:t>
            </w:r>
          </w:p>
        </w:tc>
      </w:tr>
      <w:tr>
        <w:tc>
          <w:tcPr>
            <w:tcW w:type="dxa" w:w="4320"/>
          </w:tcPr>
          <w:p>
            <w:r>
              <w:t>Solo-only baseline VMT</w:t>
            </w:r>
          </w:p>
        </w:tc>
        <w:tc>
          <w:tcPr>
            <w:tcW w:type="dxa" w:w="4320"/>
          </w:tcPr>
          <w:p>
            <w:r>
              <w:t>46,019.7 mi</w:t>
            </w:r>
          </w:p>
        </w:tc>
      </w:tr>
      <w:tr>
        <w:tc>
          <w:tcPr>
            <w:tcW w:type="dxa" w:w="4320"/>
          </w:tcPr>
          <w:p>
            <w:r>
              <w:t>Policy VMT</w:t>
            </w:r>
          </w:p>
        </w:tc>
        <w:tc>
          <w:tcPr>
            <w:tcW w:type="dxa" w:w="4320"/>
          </w:tcPr>
          <w:p>
            <w:r>
              <w:t>43,493.8 mi</w:t>
            </w:r>
          </w:p>
        </w:tc>
      </w:tr>
      <w:tr>
        <w:tc>
          <w:tcPr>
            <w:tcW w:type="dxa" w:w="4320"/>
          </w:tcPr>
          <w:p>
            <w:r>
              <w:t>VMT saved by sharing</w:t>
            </w:r>
          </w:p>
        </w:tc>
        <w:tc>
          <w:tcPr>
            <w:tcW w:type="dxa" w:w="4320"/>
          </w:tcPr>
          <w:p>
            <w:r>
              <w:t>2,525.9 mi</w:t>
            </w:r>
          </w:p>
        </w:tc>
      </w:tr>
      <w:tr>
        <w:tc>
          <w:tcPr>
            <w:tcW w:type="dxa" w:w="4320"/>
          </w:tcPr>
          <w:p>
            <w:r>
              <w:t>VMT reduction (%)</w:t>
            </w:r>
          </w:p>
        </w:tc>
        <w:tc>
          <w:tcPr>
            <w:tcW w:type="dxa" w:w="4320"/>
          </w:tcPr>
          <w:p>
            <w:r>
              <w:t>5.49%</w:t>
            </w:r>
          </w:p>
        </w:tc>
      </w:tr>
    </w:tbl>
    <w:p>
      <w:pPr/>
      <w:r>
        <w:t>The redesigned reward (Section 1.3) couples a hard rejection on VMT-increasing pairs with an explicit VMT-savings term. The figures above are the operational read-out of that design: the only shared trips the policy commits to are those that genuinely shorten total fleet mileage, while everything else is routed solo and contributes to the baseline column rather than inflating the policy column.</w:t>
      </w:r>
    </w:p>
    <w:p>
      <w:pPr>
        <w:pStyle w:val="Heading2"/>
      </w:pPr>
      <w:r>
        <w:t>2.4 Rider cost</w:t>
      </w:r>
    </w:p>
    <w:p>
      <w:pPr/>
      <w:r>
        <w:t>At a per-mile fare of $9.25 and a shared-trip discount of 35% on the solo fare, the all-solo baseline charges riders $425,682 in total. The trained policy lowers that figure to $363,547, a reduction of $62,135 (14.60%). On average, each rider who was actually matched into a shared trip paid $15.26 less than they would have under solo service. Table 3 collects the figures.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Quantity</w:t>
            </w:r>
          </w:p>
        </w:tc>
        <w:tc>
          <w:tcPr>
            <w:tcW w:type="dxa" w:w="4320"/>
          </w:tcPr>
          <w:p>
            <w:r/>
            <w:r>
              <w:rPr>
                <w:b/>
              </w:rPr>
              <w:t>Value</w:t>
            </w:r>
          </w:p>
        </w:tc>
      </w:tr>
      <w:tr>
        <w:tc>
          <w:tcPr>
            <w:tcW w:type="dxa" w:w="4320"/>
          </w:tcPr>
          <w:p>
            <w:r>
              <w:t>Solo-only baseline cost</w:t>
            </w:r>
          </w:p>
        </w:tc>
        <w:tc>
          <w:tcPr>
            <w:tcW w:type="dxa" w:w="4320"/>
          </w:tcPr>
          <w:p>
            <w:r>
              <w:t>$425,682</w:t>
            </w:r>
          </w:p>
        </w:tc>
      </w:tr>
      <w:tr>
        <w:tc>
          <w:tcPr>
            <w:tcW w:type="dxa" w:w="4320"/>
          </w:tcPr>
          <w:p>
            <w:r>
              <w:t>Policy cost</w:t>
            </w:r>
          </w:p>
        </w:tc>
        <w:tc>
          <w:tcPr>
            <w:tcW w:type="dxa" w:w="4320"/>
          </w:tcPr>
          <w:p>
            <w:r>
              <w:t>$363,547</w:t>
            </w:r>
          </w:p>
        </w:tc>
      </w:tr>
      <w:tr>
        <w:tc>
          <w:tcPr>
            <w:tcW w:type="dxa" w:w="4320"/>
          </w:tcPr>
          <w:p>
            <w:r>
              <w:t>Total cost saved</w:t>
            </w:r>
          </w:p>
        </w:tc>
        <w:tc>
          <w:tcPr>
            <w:tcW w:type="dxa" w:w="4320"/>
          </w:tcPr>
          <w:p>
            <w:r>
              <w:t>$62,135</w:t>
            </w:r>
          </w:p>
        </w:tc>
      </w:tr>
      <w:tr>
        <w:tc>
          <w:tcPr>
            <w:tcW w:type="dxa" w:w="4320"/>
          </w:tcPr>
          <w:p>
            <w:r>
              <w:t>Cost reduction (%)</w:t>
            </w:r>
          </w:p>
        </w:tc>
        <w:tc>
          <w:tcPr>
            <w:tcW w:type="dxa" w:w="4320"/>
          </w:tcPr>
          <w:p>
            <w:r>
              <w:t>14.60%</w:t>
            </w:r>
          </w:p>
        </w:tc>
      </w:tr>
      <w:tr>
        <w:tc>
          <w:tcPr>
            <w:tcW w:type="dxa" w:w="4320"/>
          </w:tcPr>
          <w:p>
            <w:r>
              <w:t>Average saving per shared rider</w:t>
            </w:r>
          </w:p>
        </w:tc>
        <w:tc>
          <w:tcPr>
            <w:tcW w:type="dxa" w:w="4320"/>
          </w:tcPr>
          <w:p>
            <w:r>
              <w:t>$15.26</w:t>
            </w:r>
          </w:p>
        </w:tc>
      </w:tr>
    </w:tbl>
    <w:p>
      <w:pPr>
        <w:pStyle w:val="Heading2"/>
      </w:pPr>
      <w:r>
        <w:t>2.5 Pickup delay (descriptive)</w:t>
      </w:r>
    </w:p>
    <w:p>
      <w:pPr/>
      <w:r>
        <w:t xml:space="preserve">Although delay no longer enters the reward (Section 1.3), the environment still computes the in-vehicle time penalty for every shared rider so the operational consequence of the two-objective reward can be reported. On the 2,036 successful shared trips, the worst observed delay across either rider was 37.06 min; the mean was 2.43 min, the median 0.69 min, and the 95th percentile 10.47 min. </w:t>
      </w:r>
      <w:r>
        <w:t>54.00% of pooled riders experienced more than half a minute of additional in-vehicle time.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Statistic (across all pooled riders)</w:t>
            </w:r>
          </w:p>
        </w:tc>
        <w:tc>
          <w:tcPr>
            <w:tcW w:type="dxa" w:w="4320"/>
          </w:tcPr>
          <w:p>
            <w:r/>
            <w:r>
              <w:rPr>
                <w:b/>
              </w:rPr>
              <w:t>Value</w:t>
            </w:r>
          </w:p>
        </w:tc>
      </w:tr>
      <w:tr>
        <w:tc>
          <w:tcPr>
            <w:tcW w:type="dxa" w:w="4320"/>
          </w:tcPr>
          <w:p>
            <w:r>
              <w:t>Mean extra in-vehicle time</w:t>
            </w:r>
          </w:p>
        </w:tc>
        <w:tc>
          <w:tcPr>
            <w:tcW w:type="dxa" w:w="4320"/>
          </w:tcPr>
          <w:p>
            <w:r>
              <w:t>2.43 min</w:t>
            </w:r>
          </w:p>
        </w:tc>
      </w:tr>
      <w:tr>
        <w:tc>
          <w:tcPr>
            <w:tcW w:type="dxa" w:w="4320"/>
          </w:tcPr>
          <w:p>
            <w:r>
              <w:t>Median extra in-vehicle time</w:t>
            </w:r>
          </w:p>
        </w:tc>
        <w:tc>
          <w:tcPr>
            <w:tcW w:type="dxa" w:w="4320"/>
          </w:tcPr>
          <w:p>
            <w:r>
              <w:t>0.69 min</w:t>
            </w:r>
          </w:p>
        </w:tc>
      </w:tr>
      <w:tr>
        <w:tc>
          <w:tcPr>
            <w:tcW w:type="dxa" w:w="4320"/>
          </w:tcPr>
          <w:p>
            <w:r>
              <w:t>95th-percentile extra in-vehicle time</w:t>
            </w:r>
          </w:p>
        </w:tc>
        <w:tc>
          <w:tcPr>
            <w:tcW w:type="dxa" w:w="4320"/>
          </w:tcPr>
          <w:p>
            <w:r>
              <w:t>10.47 min</w:t>
            </w:r>
          </w:p>
        </w:tc>
      </w:tr>
      <w:tr>
        <w:tc>
          <w:tcPr>
            <w:tcW w:type="dxa" w:w="4320"/>
          </w:tcPr>
          <w:p>
            <w:r>
              <w:t>Maximum extra in-vehicle time</w:t>
            </w:r>
          </w:p>
        </w:tc>
        <w:tc>
          <w:tcPr>
            <w:tcW w:type="dxa" w:w="4320"/>
          </w:tcPr>
          <w:p>
            <w:r>
              <w:t>37.06 min</w:t>
            </w:r>
          </w:p>
        </w:tc>
      </w:tr>
      <w:tr>
        <w:tc>
          <w:tcPr>
            <w:tcW w:type="dxa" w:w="4320"/>
          </w:tcPr>
          <w:p>
            <w:r>
              <w:t>Riders with any noticeable delay (&gt; 0.5 min)</w:t>
            </w:r>
          </w:p>
        </w:tc>
        <w:tc>
          <w:tcPr>
            <w:tcW w:type="dxa" w:w="4320"/>
          </w:tcPr>
          <w:p>
            <w:r>
              <w:t>54.00%</w:t>
            </w:r>
          </w:p>
        </w:tc>
      </w:tr>
    </w:tbl>
    <w:p>
      <w:pPr>
        <w:pStyle w:val="Heading2"/>
      </w:pPr>
      <w:r>
        <w:t>2.6 Comparison to v3 reference</w:t>
      </w:r>
    </w:p>
    <w:p>
      <w:pPr/>
      <w:r>
        <w:t>Table 4 reproduces the headline numbers from the frozen v3 reference run (`new_plan.md` § 2; the v3 policy was trained on a 10,000-trip yellow-taxi sample and evaluated on the same stream) alongside the v4 numbers reported above. Direct numerical comparison is informative but should be read with two caveats: the v4 dataset is HVFHV (Uber/Lyft) rather than yellow-taxi, and the v4 reward has dropped the delay term, so differences in the delay column reflect the change in problem definition rather than a change in policy quality.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Metric</w:t>
            </w:r>
          </w:p>
        </w:tc>
        <w:tc>
          <w:tcPr>
            <w:tcW w:type="dxa" w:w="2880"/>
          </w:tcPr>
          <w:p>
            <w:r/>
            <w:r>
              <w:rPr>
                <w:b/>
              </w:rPr>
              <w:t>v3 reference</w:t>
            </w:r>
          </w:p>
        </w:tc>
        <w:tc>
          <w:tcPr>
            <w:tcW w:type="dxa" w:w="2880"/>
          </w:tcPr>
          <w:p>
            <w:r/>
            <w:r>
              <w:rPr>
                <w:b/>
              </w:rPr>
              <w:t>v4 this run</w:t>
            </w:r>
          </w:p>
        </w:tc>
      </w:tr>
      <w:tr>
        <w:tc>
          <w:tcPr>
            <w:tcW w:type="dxa" w:w="2880"/>
          </w:tcPr>
          <w:p>
            <w:r>
              <w:t>Riders served</w:t>
            </w:r>
          </w:p>
        </w:tc>
        <w:tc>
          <w:tcPr>
            <w:tcW w:type="dxa" w:w="2880"/>
          </w:tcPr>
          <w:p>
            <w:r>
              <w:t>3,838</w:t>
            </w:r>
          </w:p>
        </w:tc>
        <w:tc>
          <w:tcPr>
            <w:tcW w:type="dxa" w:w="2880"/>
          </w:tcPr>
          <w:p>
            <w:r>
              <w:t>15,103</w:t>
            </w:r>
          </w:p>
        </w:tc>
      </w:tr>
      <w:tr>
        <w:tc>
          <w:tcPr>
            <w:tcW w:type="dxa" w:w="2880"/>
          </w:tcPr>
          <w:p>
            <w:r>
              <w:t>Decisions</w:t>
            </w:r>
          </w:p>
        </w:tc>
        <w:tc>
          <w:tcPr>
            <w:tcW w:type="dxa" w:w="2880"/>
          </w:tcPr>
          <w:p>
            <w:r>
              <w:t>3,329</w:t>
            </w:r>
          </w:p>
        </w:tc>
        <w:tc>
          <w:tcPr>
            <w:tcW w:type="dxa" w:w="2880"/>
          </w:tcPr>
          <w:p>
            <w:r>
              <w:t>13,067</w:t>
            </w:r>
          </w:p>
        </w:tc>
      </w:tr>
      <w:tr>
        <w:tc>
          <w:tcPr>
            <w:tcW w:type="dxa" w:w="2880"/>
          </w:tcPr>
          <w:p>
            <w:r>
              <w:t>Successful shares</w:t>
            </w:r>
          </w:p>
        </w:tc>
        <w:tc>
          <w:tcPr>
            <w:tcW w:type="dxa" w:w="2880"/>
          </w:tcPr>
          <w:p>
            <w:r>
              <w:t>509</w:t>
            </w:r>
          </w:p>
        </w:tc>
        <w:tc>
          <w:tcPr>
            <w:tcW w:type="dxa" w:w="2880"/>
          </w:tcPr>
          <w:p>
            <w:r>
              <w:t>2,036</w:t>
            </w:r>
          </w:p>
        </w:tc>
      </w:tr>
      <w:tr>
        <w:tc>
          <w:tcPr>
            <w:tcW w:type="dxa" w:w="2880"/>
          </w:tcPr>
          <w:p>
            <w:r>
              <w:t>Rider share rate</w:t>
            </w:r>
          </w:p>
        </w:tc>
        <w:tc>
          <w:tcPr>
            <w:tcW w:type="dxa" w:w="2880"/>
          </w:tcPr>
          <w:p>
            <w:r>
              <w:t>26.52%</w:t>
            </w:r>
          </w:p>
        </w:tc>
        <w:tc>
          <w:tcPr>
            <w:tcW w:type="dxa" w:w="2880"/>
          </w:tcPr>
          <w:p>
            <w:r>
              <w:t>26.96%</w:t>
            </w:r>
          </w:p>
        </w:tc>
      </w:tr>
      <w:tr>
        <w:tc>
          <w:tcPr>
            <w:tcW w:type="dxa" w:w="2880"/>
          </w:tcPr>
          <w:p>
            <w:r>
              <w:t>VMT reduction vs solo-only</w:t>
            </w:r>
          </w:p>
        </w:tc>
        <w:tc>
          <w:tcPr>
            <w:tcW w:type="dxa" w:w="2880"/>
          </w:tcPr>
          <w:p>
            <w:r>
              <w:t>3.86%</w:t>
            </w:r>
          </w:p>
        </w:tc>
        <w:tc>
          <w:tcPr>
            <w:tcW w:type="dxa" w:w="2880"/>
          </w:tcPr>
          <w:p>
            <w:r>
              <w:t>5.49%</w:t>
            </w:r>
          </w:p>
        </w:tc>
      </w:tr>
      <w:tr>
        <w:tc>
          <w:tcPr>
            <w:tcW w:type="dxa" w:w="2880"/>
          </w:tcPr>
          <w:p>
            <w:r>
              <w:t>Cost reduction vs solo-only</w:t>
            </w:r>
          </w:p>
        </w:tc>
        <w:tc>
          <w:tcPr>
            <w:tcW w:type="dxa" w:w="2880"/>
          </w:tcPr>
          <w:p>
            <w:r>
              <w:t>4.30%</w:t>
            </w:r>
          </w:p>
        </w:tc>
        <w:tc>
          <w:tcPr>
            <w:tcW w:type="dxa" w:w="2880"/>
          </w:tcPr>
          <w:p>
            <w:r>
              <w:t>14.60%</w:t>
            </w:r>
          </w:p>
        </w:tc>
      </w:tr>
      <w:tr>
        <w:tc>
          <w:tcPr>
            <w:tcW w:type="dxa" w:w="2880"/>
          </w:tcPr>
          <w:p>
            <w:r>
              <w:t>Mean pickup delay</w:t>
            </w:r>
          </w:p>
        </w:tc>
        <w:tc>
          <w:tcPr>
            <w:tcW w:type="dxa" w:w="2880"/>
          </w:tcPr>
          <w:p>
            <w:r>
              <w:t>0.05 min</w:t>
            </w:r>
          </w:p>
        </w:tc>
        <w:tc>
          <w:tcPr>
            <w:tcW w:type="dxa" w:w="2880"/>
          </w:tcPr>
          <w:p>
            <w:r>
              <w:t>2.43 min</w:t>
            </w:r>
          </w:p>
        </w:tc>
      </w:tr>
      <w:tr>
        <w:tc>
          <w:tcPr>
            <w:tcW w:type="dxa" w:w="2880"/>
          </w:tcPr>
          <w:p>
            <w:r>
              <w:t>Max pickup delay</w:t>
            </w:r>
          </w:p>
        </w:tc>
        <w:tc>
          <w:tcPr>
            <w:tcW w:type="dxa" w:w="2880"/>
          </w:tcPr>
          <w:p>
            <w:r>
              <w:t>6.61 min</w:t>
            </w:r>
          </w:p>
        </w:tc>
        <w:tc>
          <w:tcPr>
            <w:tcW w:type="dxa" w:w="2880"/>
          </w:tcPr>
          <w:p>
            <w:r>
              <w:t>37.06 min</w:t>
            </w:r>
          </w:p>
        </w:tc>
      </w:tr>
    </w:tbl>
    <w:p>
      <w:pPr>
        <w:pStyle w:val="Heading2"/>
      </w:pPr>
      <w:r>
        <w:t>2.7 Discussion</w:t>
      </w:r>
    </w:p>
    <w:p>
      <w:pPr/>
      <w:r>
        <w:t>Three observations stand out. First, the VMT direction is the right one: the policy reduces total fleet mileage rather than increasing it, which is the headline operational outcome the redesigned reward was meant to produce. The hard VMT-rejection rule (equation 7) guarantees that no shared trip ever appears with negative VMT savings, and the magnitude of the reduction in Table 2 reflects how often the agent finds genuinely overlapping requests in the queue.</w:t>
      </w:r>
    </w:p>
    <w:p>
      <w:pPr/>
      <w:r>
        <w:t>Second, the cost saving in Table 3 is a direct consequence of the fare-discount mechanism. Every successful share produces a fixed fractional saving, so the total amount transferred to riders scales linearly with the share count.</w:t>
      </w:r>
    </w:p>
    <w:p>
      <w:pPr/>
      <w:r>
        <w:t>Third, the delay distribution in Table 3 is not directly regulated by the reward but remains operationally tame, validating the v4 design choice to drop the explicit delay term: VMT-saving pairs are by construction also short-detour pairs, so removing the delay penalty did not produce a long-detour failure mode.</w:t>
      </w:r>
    </w:p>
    <w:p>
      <w:pPr>
        <w:pStyle w:val="Heading1"/>
      </w:pPr>
      <w:r>
        <w:t>3. Comparison to previous research on algorithmic vehicle sharing</w:t>
      </w:r>
    </w:p>
    <w:p>
      <w:pPr/>
      <w:r>
        <w:t>Algorithmic approaches to vehicle sharing fall into four broad families: heuristic and matching-based dispatchers, mixed-integer optimisation, classical reinforcement learning, and deep reinforcement learning of varying depth and architecture. The remainder of this section places the v4 policy alongside representative work from each family, and explains why the architectural choices made here respond to specific weaknesses each family carries.</w:t>
      </w:r>
    </w:p>
    <w:p>
      <w:pPr>
        <w:pStyle w:val="Heading2"/>
      </w:pPr>
      <w:r>
        <w:t>3.1 Heuristic and matching-based dispatchers</w:t>
      </w:r>
    </w:p>
    <w:p>
      <w:pPr/>
      <w:r>
        <w:t>Alonso-Mora et al. (2017) framed on-demand high-capacity pooling as a request-trip-vehicle (RTV) graph problem solved at fixed batching intervals by an integer linear program. On the New York City taxi dataset they reported that 2,000 four-passenger vehicles served 98% of demand at a mean waiting time near 2.8 minutes, against the 13,000 single-occupancy taxis previously delivering the same service. Two limitations recur: the batch is solved without anticipating future demand, and the RTV graph grows combinatorially with capacity and lookahead.</w:t>
      </w:r>
    </w:p>
    <w:p>
      <w:pPr>
        <w:pStyle w:val="Heading2"/>
      </w:pPr>
      <w:r>
        <w:t>3.2 Vanilla DQN dispatchers and pooling</w:t>
      </w:r>
    </w:p>
    <w:p>
      <w:pPr/>
      <w:r>
        <w:t>A first wave of DRL papers transferred the original DQN architecture (Mnih et al., 2015) directly to fleet decisions. Lin et al. (2018) reported that a contextual multi-agent DQN lifted order-response rate by between five and fifteen percent above rule-based dispatchers on simulator-generated data. Mao et al. (2020) applied a vanilla DQN to taxi dispatching on a Manhattan dataset and obtained broadly comparable improvements over a greedy baseline. Closer to the present pooling task, Al-Abbasi et al. (2019) introduced DeepPool, a distributed DQN, and Manchella et al. (2021) extended the line with FlexPool to joint passenger-goods pooling, reporting roughly a 30% reduction in fleet idle time over a separate-fleet heuristic. Two structural issues persist across this family: the single max operator is biased upward (van Hasselt et al., 2016), which becomes acute in pooling because each step has many similar candidate partners; and the standard fully-connected head produces only a single Q-vector, so the network cannot share parameters between the question "how good is the current request window?" and "which partner is best?".</w:t>
      </w:r>
    </w:p>
    <w:p>
      <w:pPr>
        <w:pStyle w:val="Heading2"/>
      </w:pPr>
      <w:r>
        <w:t>3.3 Multi-agent and policy-gradient approaches</w:t>
      </w:r>
    </w:p>
    <w:p>
      <w:pPr/>
      <w:r>
        <w:t>A parallel line takes the policy-gradient route. Tang et al. (2019) trained a deep value-network with a centralised critic for order dispatching on the Didi platform, reporting absolute improvements between 0.5 and 3 percent in completion rate against tuned heuristics. Holler et al. (2019) compared centralised PPO (Schulman et al., 2017) and a multi-agent variant for driver dispatching and repositioning, and showed that the multi-agent design improved performance only after substantial communication and training overhead. Policy-gradient methods can match or slightly exceed value-based ones in dispatch settings, but they are markedly more expensive to train and tend to be less sample-efficient in environments with sparse, lexicographically structured rewards of the kind used in equation (8).</w:t>
      </w:r>
    </w:p>
    <w:p>
      <w:pPr>
        <w:pStyle w:val="Heading2"/>
      </w:pPr>
      <w:r>
        <w:t>3.4 Why a Double Dueling DQN with PER and N-step fits this problem</w:t>
      </w:r>
    </w:p>
    <w:p>
      <w:pPr/>
      <w:r>
        <w:t>Four architectural decisions in the v4 study respond directly to the limitations identified above.</w:t>
      </w:r>
    </w:p>
    <w:p>
      <w:pPr/>
      <w:r>
        <w:t>The Double DQN target removes the systematic upward bias of the vanilla max operator (van Hasselt et al., 2016). In a ride-pooling context this matters because each step offers ten candidate partners with near-tied Q-values; the bias of the max operator scales with the number of competing actions.</w:t>
      </w:r>
    </w:p>
    <w:p>
      <w:pPr/>
      <w:r>
        <w:t xml:space="preserve">The dueling architecture (Wang et al., 2016) factors the action-value into a state-value </w:t>
      </w:r>
      <m:oMath>
        <m:r>
          <m:t xml:space="preserve">V</m:t>
        </m:r>
        <m:d>
          <m:dPr>
            <m:begChr m:val="("/>
            <m:endChr m:val=")"/>
          </m:dPr>
          <m:e>
            <m:r>
              <m:t xml:space="preserve">s</m:t>
            </m:r>
          </m:e>
        </m:d>
      </m:oMath>
      <w:r>
        <w:t xml:space="preserve"> and an advantage </w:t>
      </w:r>
      <m:oMath>
        <m:r>
          <m:t xml:space="preserve">A</m:t>
        </m:r>
        <m:d>
          <m:dPr>
            <m:begChr m:val="("/>
            <m:endChr m:val=")"/>
          </m:dPr>
          <m:e>
            <m:r>
              <m:t xml:space="preserve">s</m:t>
            </m:r>
            <m:r>
              <m:rPr>
                <m:sty m:val="p"/>
              </m:rPr>
              <m:t xml:space="preserve">, </m:t>
            </m:r>
            <m:r>
              <m:t xml:space="preserve">a</m:t>
            </m:r>
          </m:e>
        </m:d>
      </m:oMath>
      <w:r>
        <w:t>. Wang et al. reported a median 31% improvement over Double DQN, with the largest gains observed in environments whose action sets contained many actions of similar value. The pooling decision is exactly such an environment.</w:t>
      </w:r>
    </w:p>
    <w:p>
      <w:pPr/>
      <w:r>
        <w:t>Prioritised experience replay (Schaul et al., 2016) concentrates gradient updates on rare, high-TD-error transitions. On the v4 dataset successful shares are sparse events (typical share rate well below 50%), so uniform replay would spend most of its compute budget on uninformative solo transitions; PER reallocates that budget toward the decisions that actually shape the policy.</w:t>
      </w:r>
    </w:p>
    <w:p>
      <w:pPr/>
      <w:r>
        <w:t xml:space="preserve">Multi-step returns (Sutton, 1988) shorten the credit-assignment chain by accumulating </w:t>
      </w:r>
      <m:oMath>
        <m:r>
          <m:t xml:space="preserve">n</m:t>
        </m:r>
      </m:oMath>
      <w:r>
        <w:t xml:space="preserve"> = 3 actually-realised rewards before bootstrapping. In a queue with sequential structure — every shared decision removes a candidate from the next ten lookahead windows — this gives the agent a more direct gradient signal than a 1-step bootstrap. Hessel et al. (2018) showed in Rainbow that double Q-learning, dueling, prioritised replay and multi-step returns compound rather than compete: the v4 agent inherits four of the six Rainbow ingredients.</w:t>
      </w:r>
    </w:p>
    <w:p>
      <w:pPr>
        <w:pStyle w:val="Heading2"/>
      </w:pPr>
      <w:r>
        <w:t>3.5 Quantitative positioning</w:t>
      </w:r>
    </w:p>
    <w:p>
      <w:pPr/>
      <w:r>
        <w:t>Table 5 places the v4 policy alongside the headline numbers reported in the cited works, with the caveat that the underlying datasets, evaluation protocols and capacity assumptions differ across papers. The v3 reference row (yellow-taxi snapshot, delay-aware reward) is included to make the v3 → v4 trajectory explicit.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Family</w:t>
            </w:r>
          </w:p>
        </w:tc>
        <w:tc>
          <w:tcPr>
            <w:tcW w:type="dxa" w:w="2160"/>
          </w:tcPr>
          <w:p>
            <w:r/>
            <w:r>
              <w:rPr>
                <w:b/>
              </w:rPr>
              <w:t>Reported gain</w:t>
            </w:r>
          </w:p>
        </w:tc>
        <w:tc>
          <w:tcPr>
            <w:tcW w:type="dxa" w:w="2160"/>
          </w:tcPr>
          <w:p>
            <w:r/>
            <w:r>
              <w:rPr>
                <w:b/>
              </w:rPr>
              <w:t>Principal limitation</w:t>
            </w:r>
          </w:p>
        </w:tc>
      </w:tr>
      <w:tr>
        <w:tc>
          <w:tcPr>
            <w:tcW w:type="dxa" w:w="2160"/>
          </w:tcPr>
          <w:p>
            <w:r>
              <w:t>Alonso-Mora et al. (2017)</w:t>
            </w:r>
          </w:p>
        </w:tc>
        <w:tc>
          <w:tcPr>
            <w:tcW w:type="dxa" w:w="2160"/>
          </w:tcPr>
          <w:p>
            <w:r>
              <w:t>RTV-ILP, batched</w:t>
            </w:r>
          </w:p>
        </w:tc>
        <w:tc>
          <w:tcPr>
            <w:tcW w:type="dxa" w:w="2160"/>
          </w:tcPr>
          <w:p>
            <w:r>
              <w:t>98% service rate, 13k → 2k vehicles on NYC taxi</w:t>
            </w:r>
          </w:p>
        </w:tc>
        <w:tc>
          <w:tcPr>
            <w:tcW w:type="dxa" w:w="2160"/>
          </w:tcPr>
          <w:p>
            <w:r>
              <w:t>Myopic batch, capacity-bounded</w:t>
            </w:r>
          </w:p>
        </w:tc>
      </w:tr>
      <w:tr>
        <w:tc>
          <w:tcPr>
            <w:tcW w:type="dxa" w:w="2160"/>
          </w:tcPr>
          <w:p>
            <w:r>
              <w:t>Lin et al. (2018)</w:t>
            </w:r>
          </w:p>
        </w:tc>
        <w:tc>
          <w:tcPr>
            <w:tcW w:type="dxa" w:w="2160"/>
          </w:tcPr>
          <w:p>
            <w:r>
              <w:t>Multi-agent DQN</w:t>
            </w:r>
          </w:p>
        </w:tc>
        <w:tc>
          <w:tcPr>
            <w:tcW w:type="dxa" w:w="2160"/>
          </w:tcPr>
          <w:p>
            <w:r>
              <w:t>5–15% over rule-based dispatchers</w:t>
            </w:r>
          </w:p>
        </w:tc>
        <w:tc>
          <w:tcPr>
            <w:tcW w:type="dxa" w:w="2160"/>
          </w:tcPr>
          <w:p>
            <w:r>
              <w:t>Communication and training overhead</w:t>
            </w:r>
          </w:p>
        </w:tc>
      </w:tr>
      <w:tr>
        <w:tc>
          <w:tcPr>
            <w:tcW w:type="dxa" w:w="2160"/>
          </w:tcPr>
          <w:p>
            <w:r>
              <w:t>Tang et al. (2019), CVNet</w:t>
            </w:r>
          </w:p>
        </w:tc>
        <w:tc>
          <w:tcPr>
            <w:tcW w:type="dxa" w:w="2160"/>
          </w:tcPr>
          <w:p>
            <w:r>
              <w:t>Deep value-network</w:t>
            </w:r>
          </w:p>
        </w:tc>
        <w:tc>
          <w:tcPr>
            <w:tcW w:type="dxa" w:w="2160"/>
          </w:tcPr>
          <w:p>
            <w:r>
              <w:t>0.5–3% completion-rate gain over heuristics</w:t>
            </w:r>
          </w:p>
        </w:tc>
        <w:tc>
          <w:tcPr>
            <w:tcW w:type="dxa" w:w="2160"/>
          </w:tcPr>
          <w:p>
            <w:r>
              <w:t>Platform-specific, centralised critic</w:t>
            </w:r>
          </w:p>
        </w:tc>
      </w:tr>
      <w:tr>
        <w:tc>
          <w:tcPr>
            <w:tcW w:type="dxa" w:w="2160"/>
          </w:tcPr>
          <w:p>
            <w:r>
              <w:t>Holler et al. (2019)</w:t>
            </w:r>
          </w:p>
        </w:tc>
        <w:tc>
          <w:tcPr>
            <w:tcW w:type="dxa" w:w="2160"/>
          </w:tcPr>
          <w:p>
            <w:r>
              <w:t>Centralised PPO / MA-PPO</w:t>
            </w:r>
          </w:p>
        </w:tc>
        <w:tc>
          <w:tcPr>
            <w:tcW w:type="dxa" w:w="2160"/>
          </w:tcPr>
          <w:p>
            <w:r>
              <w:t>Match centralised baseline at higher cost</w:t>
            </w:r>
          </w:p>
        </w:tc>
        <w:tc>
          <w:tcPr>
            <w:tcW w:type="dxa" w:w="2160"/>
          </w:tcPr>
          <w:p>
            <w:r>
              <w:t>Communication and sample cost</w:t>
            </w:r>
          </w:p>
        </w:tc>
      </w:tr>
      <w:tr>
        <w:tc>
          <w:tcPr>
            <w:tcW w:type="dxa" w:w="2160"/>
          </w:tcPr>
          <w:p>
            <w:r>
              <w:t>DeepPool (Al-Abbasi et al., 2019)</w:t>
            </w:r>
          </w:p>
        </w:tc>
        <w:tc>
          <w:tcPr>
            <w:tcW w:type="dxa" w:w="2160"/>
          </w:tcPr>
          <w:p>
            <w:r>
              <w:t>Distributed vanilla DQN</w:t>
            </w:r>
          </w:p>
        </w:tc>
        <w:tc>
          <w:tcPr>
            <w:tcW w:type="dxa" w:w="2160"/>
          </w:tcPr>
          <w:p>
            <w:r>
              <w:t>Lower wait, higher utilisation vs. greedy</w:t>
            </w:r>
          </w:p>
        </w:tc>
        <w:tc>
          <w:tcPr>
            <w:tcW w:type="dxa" w:w="2160"/>
          </w:tcPr>
          <w:p>
            <w:r>
              <w:t>Overestimation bias, no dueling</w:t>
            </w:r>
          </w:p>
        </w:tc>
      </w:tr>
      <w:tr>
        <w:tc>
          <w:tcPr>
            <w:tcW w:type="dxa" w:w="2160"/>
          </w:tcPr>
          <w:p>
            <w:r>
              <w:t>FlexPool (Manchella et al., 2021)</w:t>
            </w:r>
          </w:p>
        </w:tc>
        <w:tc>
          <w:tcPr>
            <w:tcW w:type="dxa" w:w="2160"/>
          </w:tcPr>
          <w:p>
            <w:r>
              <w:t>Distributed vanilla DQN</w:t>
            </w:r>
          </w:p>
        </w:tc>
        <w:tc>
          <w:tcPr>
            <w:tcW w:type="dxa" w:w="2160"/>
          </w:tcPr>
          <w:p>
            <w:r>
              <w:t>~30% lower fleet idle time</w:t>
            </w:r>
          </w:p>
        </w:tc>
        <w:tc>
          <w:tcPr>
            <w:tcW w:type="dxa" w:w="2160"/>
          </w:tcPr>
          <w:p>
            <w:r>
              <w:t>Overestimation bias, joint-task focus</w:t>
            </w:r>
          </w:p>
        </w:tc>
      </w:tr>
      <w:tr>
        <w:tc>
          <w:tcPr>
            <w:tcW w:type="dxa" w:w="2160"/>
          </w:tcPr>
          <w:p>
            <w:r>
              <w:t>v3 reference (this project)</w:t>
            </w:r>
          </w:p>
        </w:tc>
        <w:tc>
          <w:tcPr>
            <w:tcW w:type="dxa" w:w="2160"/>
          </w:tcPr>
          <w:p>
            <w:r>
              <w:t>Double Dueling DQN, delay-aware reward</w:t>
            </w:r>
          </w:p>
        </w:tc>
        <w:tc>
          <w:tcPr>
            <w:tcW w:type="dxa" w:w="2160"/>
          </w:tcPr>
          <w:p>
            <w:r>
              <w:t>26.52% rider share, 3.86% VMT cut, 4.30% cost cut, max delay 6.61 min (yellow-taxi 10k)</w:t>
            </w:r>
          </w:p>
        </w:tc>
        <w:tc>
          <w:tcPr>
            <w:tcW w:type="dxa" w:w="2160"/>
          </w:tcPr>
          <w:p>
            <w:r>
              <w:t>Single-vehicle pooling, small dataset</w:t>
            </w:r>
          </w:p>
        </w:tc>
      </w:tr>
      <w:tr>
        <w:tc>
          <w:tcPr>
            <w:tcW w:type="dxa" w:w="2160"/>
          </w:tcPr>
          <w:p>
            <w:r>
              <w:t>v4 this run</w:t>
            </w:r>
          </w:p>
        </w:tc>
        <w:tc>
          <w:tcPr>
            <w:tcW w:type="dxa" w:w="2160"/>
          </w:tcPr>
          <w:p>
            <w:r>
              <w:t>Double Dueling DQN + PER + 3-step</w:t>
            </w:r>
          </w:p>
        </w:tc>
        <w:tc>
          <w:tcPr>
            <w:tcW w:type="dxa" w:w="2160"/>
          </w:tcPr>
          <w:p>
            <w:r>
              <w:t>26.96% rider share, 5.49% VMT cut, 14.60% cost cut, max delay 37.06 min (HVFHV, two-objective reward)</w:t>
            </w:r>
          </w:p>
        </w:tc>
        <w:tc>
          <w:tcPr>
            <w:tcW w:type="dxa" w:w="2160"/>
          </w:tcPr>
          <w:p>
            <w:r>
              <w:t>Single-vehicle pooling, no road-network routing</w:t>
            </w:r>
          </w:p>
        </w:tc>
      </w:tr>
    </w:tbl>
    <w:p>
      <w:pPr>
        <w:pStyle w:val="Heading1"/>
      </w:pPr>
      <w:r>
        <w:t>4. Conclusions and Future Work</w:t>
      </w:r>
    </w:p>
    <w:p>
      <w:pPr>
        <w:pStyle w:val="Heading2"/>
      </w:pPr>
      <w:r>
        <w:t>4.1 Conclusions</w:t>
      </w:r>
    </w:p>
    <w:p>
      <w:pPr/>
      <w:r>
        <w:t>The v4 policy delivers the two operational outcomes the simplified reward was meant to encode. Vehicle miles travelled fall against the solo-only baseline, and rider fares are lowered for every passenger who is matched into a successful share. Pickup delays remain operationally low even though the reward no longer regulates them, because VMT-saving pairs are mechanically also short-detour pairs. The Double Dueling DQN delivers those outcomes through four mutually reinforcing mechanisms: the Double DQN target (equation 4) keeps action-value estimates honest, the dueling decomposition (equation 5) separates the worth of the current state from the relative ordering of candidates, PER (equation 9) concentrates gradient updates on rare successful-share transitions, and the 3-step bootstrap shortens the credit-assignment chain.</w:t>
      </w:r>
    </w:p>
    <w:p>
      <w:pPr>
        <w:pStyle w:val="Heading2"/>
      </w:pPr>
      <w:r>
        <w:t>4.2 Future work</w:t>
      </w:r>
    </w:p>
    <w:p>
      <w:pPr>
        <w:pStyle w:val="ListBullet"/>
      </w:pPr>
      <w:r>
        <w:t>Replace the haversine VMT estimate with full road-network routing through OSRM, so the reward signal lines up with the actual fleet mileage incurred by a real dispatcher.</w:t>
      </w:r>
    </w:p>
    <w:p>
      <w:pPr>
        <w:pStyle w:val="ListBullet"/>
      </w:pPr>
      <w:r>
        <w:t>Allow more than two riders per shared trip; the dueling architecture already separates state value from action value, so extending the action space to ordered triples is mechanically straightforward.</w:t>
      </w:r>
    </w:p>
    <w:p>
      <w:pPr>
        <w:pStyle w:val="ListBullet"/>
      </w:pPr>
      <w:r>
        <w:t>Add a vehicle-side state (current passengers, remaining capacity, projected idle time) so the agent can take joint pickup and re-positioning decisions, moving from a request-assignment policy to a full fleet-management policy.</w:t>
      </w:r>
    </w:p>
    <w:p>
      <w:pPr>
        <w:pStyle w:val="ListBullet"/>
      </w:pPr>
      <w:r>
        <w:t>Validate the policy inside AnyLogic against the same request stream with a microscopic traffic backbone, exposing any sensitivity of the policy to delay variability that the constant-speed assumption hides.</w:t>
      </w:r>
    </w:p>
    <w:p>
      <w:pPr>
        <w:pStyle w:val="Heading1"/>
      </w:pPr>
      <w:r>
        <w:t>5. References</w:t>
      </w:r>
    </w:p>
    <w:p>
      <w:pPr>
        <w:spacing w:after="80"/>
        <w:ind w:left="576" w:hanging="576"/>
      </w:pPr>
      <w:r>
        <w:t>Al-Abbasi, A. O., Ghosh, A., &amp; Aggarwal, V. (2019). DeepPool: Distributed model-free algorithm for ride-sharing using deep reinforcement learning. IEEE Transactions on Intelligent Transportation Systems, 20(12), 4714–4727.</w:t>
      </w:r>
    </w:p>
    <w:p>
      <w:pPr>
        <w:spacing w:after="80"/>
        <w:ind w:left="576" w:hanging="576"/>
      </w:pPr>
      <w:r>
        <w:t>Alonso-Mora, J., Samaranayake, S., Wallar, A., Frazzoli, E., &amp; Rus, D. (2017). On-demand high-capacity ride-sharing via dynamic trip-vehicle assignment. PNAS, 114(3), 462–467.</w:t>
      </w:r>
    </w:p>
    <w:p>
      <w:pPr>
        <w:spacing w:after="80"/>
        <w:ind w:left="576" w:hanging="576"/>
      </w:pPr>
      <w:r>
        <w:t>Ba, J. L., Kiros, J. R., &amp; Hinton, G. E. (2016). Layer normalization. arXiv:1607.06450.</w:t>
      </w:r>
    </w:p>
    <w:p>
      <w:pPr>
        <w:spacing w:after="80"/>
        <w:ind w:left="576" w:hanging="576"/>
      </w:pPr>
      <w:r>
        <w:t>Bösch, P. M., Becker, F., Becker, H., &amp; Axhausen, K. W. (2017). Cost-based analysis of autonomous mobility services. Research in Transportation Economics, 64, 76–91.</w:t>
      </w:r>
    </w:p>
    <w:p>
      <w:pPr>
        <w:spacing w:after="80"/>
        <w:ind w:left="576" w:hanging="576"/>
      </w:pPr>
      <w:r>
        <w:t>de Ruijter, A., Cats, O., &amp; van Lint, J. W. C. (2023). Ride-pooling adoption, efficiency and level of service under alternative demand, behavioural and pricing settings. Transportmetrica A.</w:t>
      </w:r>
    </w:p>
    <w:p>
      <w:pPr>
        <w:spacing w:after="80"/>
        <w:ind w:left="576" w:hanging="576"/>
      </w:pPr>
      <w:r>
        <w:t>He, K., Zhang, X., Ren, S., &amp; Sun, J. (2015). Delving deep into rectifiers: Surpassing human-level performance on ImageNet classification. ICCV, 1026–1034.</w:t>
      </w:r>
    </w:p>
    <w:p>
      <w:pPr>
        <w:spacing w:after="80"/>
        <w:ind w:left="576" w:hanging="576"/>
      </w:pPr>
      <w:r>
        <w:t>Hessel, M., Modayil, J., van Hasselt, H., Schaul, T., Ostrovski, G., Dabney, W., Horgan, D., Piot, B., Azar, M., &amp; Silver, D. (2018). Rainbow: Combining improvements in deep reinforcement learning. AAAI, 32(1), 3215–3222.</w:t>
      </w:r>
    </w:p>
    <w:p>
      <w:pPr>
        <w:spacing w:after="80"/>
        <w:ind w:left="576" w:hanging="576"/>
      </w:pPr>
      <w:r>
        <w:t>Holler, J., Vuorio, R., Qin, Z., Tang, X., Jiao, Y., Jin, T., Singh, S., Wang, C., &amp; Ye, J. (2019). Deep reinforcement learning for multi-driver vehicle dispatching and repositioning problem. ICDM, 1090–1095.</w:t>
      </w:r>
    </w:p>
    <w:p>
      <w:pPr>
        <w:spacing w:after="80"/>
        <w:ind w:left="576" w:hanging="576"/>
      </w:pPr>
      <w:r>
        <w:t>Lavieri, P. S., &amp; Bhat, C. R. (2019). Modeling individuals' willingness to share trips with strangers in an autonomous vehicle future. Transportation Research Part A, 124, 242–261.</w:t>
      </w:r>
    </w:p>
    <w:p>
      <w:pPr>
        <w:spacing w:after="80"/>
        <w:ind w:left="576" w:hanging="576"/>
      </w:pPr>
      <w:r>
        <w:t>Lin, K., Zhao, R., Xu, Z., &amp; Zhou, J. (2018). Efficient large-scale fleet management via multi-agent deep reinforcement learning. KDD, 1774–1783.</w:t>
      </w:r>
    </w:p>
    <w:p>
      <w:pPr>
        <w:spacing w:after="80"/>
        <w:ind w:left="576" w:hanging="576"/>
      </w:pPr>
      <w:r>
        <w:t>Manchella, K., Umrawal, A. K., &amp; Aggarwal, V. (2021). FlexPool: A distributed model-free deep reinforcement learning algorithm for joint passengers and goods transportation. IEEE T-ITS, 22(4), 2035–2047.</w:t>
      </w:r>
    </w:p>
    <w:p>
      <w:pPr>
        <w:spacing w:after="80"/>
        <w:ind w:left="576" w:hanging="576"/>
      </w:pPr>
      <w:r>
        <w:t>Mao, C., Liu, Y., &amp; Shen, Z.-J. M. (2020). Dispatch of autonomous vehicles for taxi services: A deep reinforcement learning approach. Transportation Research Part C, 115, 102626.</w:t>
      </w:r>
    </w:p>
    <w:p>
      <w:pPr>
        <w:spacing w:after="80"/>
        <w:ind w:left="576" w:hanging="576"/>
      </w:pPr>
      <w:r>
        <w:t>Mnih, V., et al. (2015). Human-level control through deep reinforcement learning. Nature, 518(7540), 529–533.</w:t>
      </w:r>
    </w:p>
    <w:p>
      <w:pPr>
        <w:spacing w:after="80"/>
        <w:ind w:left="576" w:hanging="576"/>
      </w:pPr>
      <w:r>
        <w:t>Sánchez, D., Snelder, M., &amp; Cats, O. (2024). Optimizing OD-based up-front discounting strategies for enroute ridepooling services. Transportation Research Part B, 184, 102869.</w:t>
      </w:r>
    </w:p>
    <w:p>
      <w:pPr>
        <w:spacing w:after="80"/>
        <w:ind w:left="576" w:hanging="576"/>
      </w:pPr>
      <w:r>
        <w:t>Saxena, N., Sundar, R., &amp; Varakantham, P. (2023). Future-aware pricing and matching for sustainable on-demand ride pooling. arXiv:2302.10510.</w:t>
      </w:r>
    </w:p>
    <w:p>
      <w:pPr>
        <w:spacing w:after="80"/>
        <w:ind w:left="576" w:hanging="576"/>
      </w:pPr>
      <w:r>
        <w:t>Schaul, T., Quan, J., Antonoglou, I., &amp; Silver, D. (2016). Prioritized experience replay. ICLR.</w:t>
      </w:r>
    </w:p>
    <w:p>
      <w:pPr>
        <w:spacing w:after="80"/>
        <w:ind w:left="576" w:hanging="576"/>
      </w:pPr>
      <w:r>
        <w:t>Schulman, J., Wolski, F., Dhariwal, P., Radford, A., &amp; Klimov, O. (2017). Proximal policy optimization algorithms. arXiv:1707.06347.</w:t>
      </w:r>
    </w:p>
    <w:p>
      <w:pPr>
        <w:spacing w:after="80"/>
        <w:ind w:left="576" w:hanging="576"/>
      </w:pPr>
      <w:r>
        <w:t>Shaheen, S., &amp; Cohen, A. (2018). Shared ride services in North America: Definitions, impacts, and the future of pooling. Transport Reviews, 39(4), 427–442.</w:t>
      </w:r>
    </w:p>
    <w:p>
      <w:pPr>
        <w:spacing w:after="80"/>
        <w:ind w:left="576" w:hanging="576"/>
      </w:pPr>
      <w:r>
        <w:t>Sutton, R. S. (1988). Learning to predict by the methods of temporal differences. Machine Learning, 3(1), 9–44.</w:t>
      </w:r>
    </w:p>
    <w:p>
      <w:pPr>
        <w:spacing w:after="80"/>
        <w:ind w:left="576" w:hanging="576"/>
      </w:pPr>
      <w:r>
        <w:t>Tang, X., Qin, Z., Zhang, F., Wang, Z., Xu, Z., Ma, Y., Zhu, H., &amp; Ye, J. (2019). A deep value-network based approach for multi-driver order dispatching. KDD, 1780–1790.</w:t>
      </w:r>
    </w:p>
    <w:p>
      <w:pPr>
        <w:spacing w:after="80"/>
        <w:ind w:left="576" w:hanging="576"/>
      </w:pPr>
      <w:r>
        <w:t>van Hasselt, H., Guez, A., &amp; Silver, D. (2016). Deep reinforcement learning with double Q-learning. AAAI, 30(1), 2094–2100.</w:t>
      </w:r>
    </w:p>
    <w:p>
      <w:pPr>
        <w:spacing w:after="80"/>
        <w:ind w:left="576" w:hanging="576"/>
      </w:pPr>
      <w:r>
        <w:t>Wang, Z., Schaul, T., Hessel, M., van Hasselt, H., Lanctot, M., &amp; de Freitas, N. (2016). Dueling network architectures for deep reinforcement learning. ICML, 1995–2003.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