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7. Memory-bandwidth utilisation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Bytes/token, estimate 1 (GB)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Bytes/token, estimate 2 (GB)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Tokens/s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Effective GB/s, estimate 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Effective GB/s, estimate 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Share of theoretical peak (%)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35.80 ± 0.14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28.7 ± 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22.66 ± 0.27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29.8 ± 0.4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87.3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14.24 ± 0.17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28.8 ± 0.3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84.3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3.414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8.70 ± 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29.8 ± 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87.3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4.913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4.626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6.40 ± 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29.6 ± 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86.8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8B-Q5_K_M 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5.725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5.59 ± 0.02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30.1 ± 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8B-Q6_K 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6.588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6.166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4.89 ± 0.02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30.1 ± 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8.533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7.983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3.81 ± 0.03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30.4 ± 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Sparse8B-Q4_K_M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4.913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4.626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6.39 ± 0.08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29.5 ± 0.3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Sparse8B-Q8_0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8.533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7.983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3.80 ± 0.03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30.3 ± 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88.9</w:t>
            </w:r>
          </w:p>
        </w:tc>
      </w:tr>
    </w:tbl>
    <w:p>
      <w:r>
        <w:rPr>
          <w:sz w:val="16"/>
        </w:rPr>
        <w:t>† Measured in the night run (night_01, 10 rounds); tokens/s scaled to the campaign through the anchor models (8B-Q4_K_M, 8B-Q8_0); the SD is between rounds.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