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6. Deney koşulları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Koşul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11th Gen Intel(R) Core(TM) i9-11900K @ 3.50GHz (8C/16T, L3 16 MB)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 GB DDR4, 2 × 16 GB F4-3200C16-16GSXFB, 2133 MHz (XMP kapalı; anma 3200 MHz*)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Anakart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Micro-Star International Co., Ltd. Z590 PRO WIFI (MS-7D09)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NVIDIA GeForce RTX 2060; Intel(R) UHD Graphics 750 (çıkarımda kullanılmadı)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İşletim sistemi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Microsoft Windows 11 Home 10.0.26300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Güç planı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Dengeli (balanced), maks. işlemci durumu 99 % → Turbo Boost kapalı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/ llama-cpp-python / CodeCarbon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3.12.10 / 0.3.36 / 3.3.1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llama.cpp CPU özellikleri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SSE3, SSSE3, AVX, AVX2, F16C, FMA, LLAMAFILE, OPENMP, REPACK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Enerji kaynağı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CPU package (RAPL PKG domain), machine-wide — windows_emi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Karbon yoğunluğu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464,6 gCO2eq/kWh (TUR, CodeCarbon)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Bağlam / üretim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n_ctx 512, 100 token, açgözlü kod çözme, EOS bastırılmış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Tur / istem / ısınma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/ 3 /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Termal sigorta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 °C / 10 s; soğuma hedefi 55 °C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Oturum başlangıcı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açılıştan ≥20 dk, sessizlik kapısı &lt;%2 CPU (60 s), 60 s boşta ölçüm, 300 s ısınma yükü (8B-Q4_K_M, physical)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dosyaları (SHA-256 öneki)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1B-Q4_K_M: f3cdd84d4a33; 3B-Q8_0: 6c17f1763773; 8B-Q8_0: e39eaa0b315c; Sparse8B-Q8_0: 36a463d4fe9d; 8B-Q4_K_M: 86c8ea6c8b75; Sparse8B-Q4_K_M: c481e7089ffa; 1B-Q8_0: 1b7f984d8539; 3B-Q4_K_M: 668d556a35eb</w:t>
            </w:r>
          </w:p>
        </w:tc>
      </w:tr>
    </w:tbl>
    <w:p>
      <w:r>
        <w:rPr>
          <w:sz w:val="16"/>
        </w:rPr>
        <w:t>(*) Anma hız modül parça numarasından türetilmiştir (XMP profili); SPD'nin bildirdiği JEDEC hızı metadata'daki configured/rated değerdir (2133 MT/s). Oturum başlangıcı değerleri configs/experiment.yaml'dan okunur.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