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A5D9" w14:textId="77777777" w:rsidR="00935ECC" w:rsidRPr="00935ECC" w:rsidRDefault="00935ECC" w:rsidP="00935ECC"/>
    <w:p w14:paraId="169E5D76" w14:textId="77777777" w:rsidR="00935ECC" w:rsidRPr="00935ECC" w:rsidRDefault="00935ECC" w:rsidP="00935ECC">
      <w:pPr>
        <w:rPr>
          <w:b/>
        </w:rPr>
      </w:pPr>
      <w:r w:rsidRPr="00935ECC">
        <w:rPr>
          <w:b/>
        </w:rPr>
        <w:t>Substance Abuse Testing Services (SAT) Addendum</w:t>
      </w:r>
    </w:p>
    <w:p w14:paraId="5474336F" w14:textId="77777777" w:rsidR="00935ECC" w:rsidRPr="00935ECC" w:rsidRDefault="00935ECC" w:rsidP="00935ECC"/>
    <w:p w14:paraId="08E612AD" w14:textId="77777777" w:rsidR="00935ECC" w:rsidRPr="00935ECC" w:rsidRDefault="00935ECC" w:rsidP="00935ECC">
      <w:r w:rsidRPr="00935ECC">
        <w:t>THIS Substance Abuse Testing Third Party Administrator Services Addendum  is entered on _______________ (“</w:t>
      </w:r>
      <w:r w:rsidRPr="00935ECC">
        <w:rPr>
          <w:b/>
        </w:rPr>
        <w:t>Effective Date</w:t>
      </w:r>
      <w:r w:rsidRPr="00935ECC">
        <w:t xml:space="preserve">”), by and between </w:t>
      </w:r>
      <w:proofErr w:type="spellStart"/>
      <w:r w:rsidRPr="00935ECC">
        <w:t>Vetzu</w:t>
      </w:r>
      <w:proofErr w:type="spellEnd"/>
      <w:r w:rsidRPr="00935ECC">
        <w:t xml:space="preserve"> Inc, an Illinois corporation, located at 1700 Park Street, Suite 212, Naperville, IL- 60563 (“</w:t>
      </w:r>
      <w:proofErr w:type="spellStart"/>
      <w:r w:rsidRPr="00935ECC">
        <w:rPr>
          <w:b/>
        </w:rPr>
        <w:t>Vetzu</w:t>
      </w:r>
      <w:proofErr w:type="spellEnd"/>
      <w:r w:rsidRPr="00935ECC">
        <w:t>”), and ______________________________ “</w:t>
      </w:r>
      <w:r w:rsidRPr="00935ECC">
        <w:rPr>
          <w:b/>
        </w:rPr>
        <w:t>Client</w:t>
      </w:r>
      <w:r w:rsidRPr="00935ECC">
        <w:t>,” a _______________ corporation, with its office at ______________________________________________________.</w:t>
      </w:r>
    </w:p>
    <w:p w14:paraId="7D673928" w14:textId="77777777" w:rsidR="00935ECC" w:rsidRPr="00935ECC" w:rsidRDefault="00935ECC" w:rsidP="00935ECC">
      <w:r w:rsidRPr="00935ECC">
        <w:t>This SAT Addendum serves as a supplement to the parties’ Master Services Agreement (“</w:t>
      </w:r>
      <w:r w:rsidRPr="00935ECC">
        <w:rPr>
          <w:b/>
        </w:rPr>
        <w:t>MSA</w:t>
      </w:r>
      <w:r w:rsidRPr="00935ECC">
        <w:t xml:space="preserve">”) dated ___________and does not modify, amend, or delete any existing terms therein, except as expressly set forth in this SAT Addendum. Unless as otherwise provided herein, capitalized terms in this SAT Addendum shall have the same meaning as set forth in the MSA. </w:t>
      </w:r>
    </w:p>
    <w:p w14:paraId="7C08AA37" w14:textId="77777777" w:rsidR="00935ECC" w:rsidRPr="00935ECC" w:rsidRDefault="00935ECC" w:rsidP="00935ECC">
      <w:pPr>
        <w:numPr>
          <w:ilvl w:val="0"/>
          <w:numId w:val="5"/>
        </w:numPr>
        <w:tabs>
          <w:tab w:val="num" w:pos="540"/>
        </w:tabs>
        <w:rPr>
          <w:b/>
        </w:rPr>
      </w:pPr>
      <w:r w:rsidRPr="00935ECC">
        <w:rPr>
          <w:b/>
        </w:rPr>
        <w:t>SERVICES</w:t>
      </w:r>
    </w:p>
    <w:p w14:paraId="7376F564" w14:textId="77777777" w:rsidR="00935ECC" w:rsidRPr="00935ECC" w:rsidRDefault="00935ECC" w:rsidP="00935ECC">
      <w:r w:rsidRPr="00935ECC">
        <w:t xml:space="preserve">Upon Client’s request and subject to the terms and conditions of the MSA, including this SAT Addendum and any pricing documents between the parties, </w:t>
      </w:r>
      <w:proofErr w:type="spellStart"/>
      <w:r w:rsidRPr="00935ECC">
        <w:t>Vetzu</w:t>
      </w:r>
      <w:proofErr w:type="spellEnd"/>
      <w:r w:rsidRPr="00935ECC">
        <w:t xml:space="preserve"> agrees to provide or facilitate the provision of substance abuse (i.e., drug and alcohol) testing, medical review officer (“</w:t>
      </w:r>
      <w:r w:rsidRPr="00935ECC">
        <w:rPr>
          <w:b/>
        </w:rPr>
        <w:t>MRO</w:t>
      </w:r>
      <w:r w:rsidRPr="00935ECC">
        <w:t xml:space="preserve">”) and related program administration and other services, in connection with Client’s screening of Applicant(s). All reports and screening results, regardless of format, provided by </w:t>
      </w:r>
      <w:proofErr w:type="spellStart"/>
      <w:r w:rsidRPr="00935ECC">
        <w:t>Vetzu</w:t>
      </w:r>
      <w:proofErr w:type="spellEnd"/>
      <w:r w:rsidRPr="00935ECC">
        <w:t xml:space="preserve"> to Client pursuant to this SAT Addendum are Screening Report(s). Client hereby certifies that </w:t>
      </w:r>
      <w:proofErr w:type="gramStart"/>
      <w:r w:rsidRPr="00935ECC">
        <w:t>all of</w:t>
      </w:r>
      <w:proofErr w:type="gramEnd"/>
      <w:r w:rsidRPr="00935ECC">
        <w:t xml:space="preserve"> its orders for Screening Report(s) from </w:t>
      </w:r>
      <w:proofErr w:type="spellStart"/>
      <w:r w:rsidRPr="00935ECC">
        <w:t>Vetzu</w:t>
      </w:r>
      <w:proofErr w:type="spellEnd"/>
      <w:r w:rsidRPr="00935ECC">
        <w:t xml:space="preserve"> shall be made, and the resulting reports shall be used, for Fair Credit Reporting Act, permissible purposes only. References to “Screening Report” may refer to an entire Screening Report for an Applicant, as well as </w:t>
      </w:r>
      <w:proofErr w:type="gramStart"/>
      <w:r w:rsidRPr="00935ECC">
        <w:t>any and all</w:t>
      </w:r>
      <w:proofErr w:type="gramEnd"/>
      <w:r w:rsidRPr="00935ECC">
        <w:t xml:space="preserve"> specific information contained in such Screening Report. Client acknowledges and agrees that a </w:t>
      </w:r>
      <w:proofErr w:type="gramStart"/>
      <w:r w:rsidRPr="00935ECC">
        <w:t>Client</w:t>
      </w:r>
      <w:proofErr w:type="gramEnd"/>
      <w:r w:rsidRPr="00935ECC">
        <w:t xml:space="preserve">-ordered Screening Report may be combined with one (1) or more Client-ordered Screening Report(s) and the result may be one (1) Screening Report for an Applicant. Client further acknowledges and agrees that certain products and Services hereunder may be provided by or through </w:t>
      </w:r>
      <w:proofErr w:type="spellStart"/>
      <w:r w:rsidRPr="00935ECC">
        <w:t>Vetzu’s</w:t>
      </w:r>
      <w:proofErr w:type="spellEnd"/>
      <w:r w:rsidRPr="00935ECC">
        <w:t xml:space="preserve"> affiliates and/or subsidiaries and/or </w:t>
      </w:r>
      <w:proofErr w:type="gramStart"/>
      <w:r w:rsidRPr="00935ECC">
        <w:t>third party</w:t>
      </w:r>
      <w:proofErr w:type="gramEnd"/>
      <w:r w:rsidRPr="00935ECC">
        <w:t xml:space="preserve"> vendors. </w:t>
      </w:r>
    </w:p>
    <w:p w14:paraId="35B0EF72" w14:textId="77777777" w:rsidR="00935ECC" w:rsidRPr="00935ECC" w:rsidRDefault="00935ECC" w:rsidP="00935ECC">
      <w:r w:rsidRPr="00935ECC">
        <w:t xml:space="preserve">As a condition precedent to receiving the Services under this SAT Addendum, Client agrees to, in all situations where legally required, (a) maintain and distribute a written drug and alcohol testing policy, and only conduct drug and alcohol testing with respect to Applicants in a manner consistent with such policy and applicable Laws, and/or (b) obtain legally compliant written consents and releases from each Applicant for employment, authorizing </w:t>
      </w:r>
      <w:proofErr w:type="spellStart"/>
      <w:r w:rsidRPr="00935ECC">
        <w:t>Vetzu</w:t>
      </w:r>
      <w:proofErr w:type="spellEnd"/>
      <w:r w:rsidRPr="00935ECC">
        <w:t xml:space="preserve"> (as an agent) to receive their individual test results directly from the laboratory or clinic administering such tests on behalf of Client. Client represents and warrants that to the extent legally required, its written drug and alcohol testing policy was in effect and/or all such consents were obtained prior to requesting </w:t>
      </w:r>
      <w:proofErr w:type="spellStart"/>
      <w:r w:rsidRPr="00935ECC">
        <w:t>Vetzu</w:t>
      </w:r>
      <w:proofErr w:type="spellEnd"/>
      <w:r w:rsidRPr="00935ECC">
        <w:t xml:space="preserve"> (and its relevant </w:t>
      </w:r>
      <w:proofErr w:type="gramStart"/>
      <w:r w:rsidRPr="00935ECC">
        <w:t>third party</w:t>
      </w:r>
      <w:proofErr w:type="gramEnd"/>
      <w:r w:rsidRPr="00935ECC">
        <w:t xml:space="preserve"> vendors) to provide Services hereunder.</w:t>
      </w:r>
    </w:p>
    <w:p w14:paraId="5FDEB477" w14:textId="77777777" w:rsidR="00935ECC" w:rsidRPr="00935ECC" w:rsidRDefault="00935ECC" w:rsidP="00935ECC">
      <w:proofErr w:type="spellStart"/>
      <w:r w:rsidRPr="00935ECC">
        <w:t>Vetzu</w:t>
      </w:r>
      <w:proofErr w:type="spellEnd"/>
      <w:r w:rsidRPr="00935ECC">
        <w:t xml:space="preserve"> will maintain reasonable procedures designed to properly transmit test results to Client, but Client acknowledges and agrees that for the fee charged, </w:t>
      </w:r>
      <w:proofErr w:type="spellStart"/>
      <w:r w:rsidRPr="00935ECC">
        <w:t>Vetzu</w:t>
      </w:r>
      <w:proofErr w:type="spellEnd"/>
      <w:r w:rsidRPr="00935ECC">
        <w:t xml:space="preserve"> does not in any way warrant, certify, or guarantee the accuracy of any test result reported, and that </w:t>
      </w:r>
      <w:proofErr w:type="spellStart"/>
      <w:r w:rsidRPr="00935ECC">
        <w:t>Vetzu</w:t>
      </w:r>
      <w:proofErr w:type="spellEnd"/>
      <w:r w:rsidRPr="00935ECC">
        <w:t xml:space="preserve"> is operating only as a distributor of products and services and does not in any way warrant the products or Services or any specific use </w:t>
      </w:r>
      <w:r w:rsidRPr="00935ECC">
        <w:lastRenderedPageBreak/>
        <w:t xml:space="preserve">thereof.  Accordingly, in the event Client conclusively determines that test results provided by </w:t>
      </w:r>
      <w:proofErr w:type="spellStart"/>
      <w:r w:rsidRPr="00935ECC">
        <w:t>Vetzu</w:t>
      </w:r>
      <w:proofErr w:type="spellEnd"/>
      <w:r w:rsidRPr="00935ECC">
        <w:t xml:space="preserve"> hereunder were transmitted or communicated incorrectly by </w:t>
      </w:r>
      <w:proofErr w:type="spellStart"/>
      <w:r w:rsidRPr="00935ECC">
        <w:t>Vetzu</w:t>
      </w:r>
      <w:proofErr w:type="spellEnd"/>
      <w:r w:rsidRPr="00935ECC">
        <w:t xml:space="preserve">, Client’s sole and exclusive remedy from </w:t>
      </w:r>
      <w:proofErr w:type="spellStart"/>
      <w:r w:rsidRPr="00935ECC">
        <w:t>Vetzu</w:t>
      </w:r>
      <w:proofErr w:type="spellEnd"/>
      <w:r w:rsidRPr="00935ECC">
        <w:t xml:space="preserve"> shall be for such test results to be re-transmitted or re-communicated to Client properly. </w:t>
      </w:r>
    </w:p>
    <w:p w14:paraId="7DBE2114" w14:textId="77777777" w:rsidR="00935ECC" w:rsidRPr="00935ECC" w:rsidRDefault="00935ECC" w:rsidP="00935ECC">
      <w:pPr>
        <w:numPr>
          <w:ilvl w:val="0"/>
          <w:numId w:val="5"/>
        </w:numPr>
        <w:tabs>
          <w:tab w:val="num" w:pos="540"/>
        </w:tabs>
      </w:pPr>
      <w:r w:rsidRPr="00935ECC">
        <w:rPr>
          <w:b/>
        </w:rPr>
        <w:t xml:space="preserve">CLIENT OBLIGATIONS </w:t>
      </w:r>
    </w:p>
    <w:p w14:paraId="0207F308" w14:textId="77777777" w:rsidR="00935ECC" w:rsidRPr="00935ECC" w:rsidRDefault="00935ECC" w:rsidP="00935ECC">
      <w:pPr>
        <w:numPr>
          <w:ilvl w:val="1"/>
          <w:numId w:val="6"/>
        </w:numPr>
      </w:pPr>
      <w:r w:rsidRPr="00935ECC">
        <w:rPr>
          <w:u w:val="single"/>
        </w:rPr>
        <w:t>Regulatory Compliance</w:t>
      </w:r>
      <w:r w:rsidRPr="00935ECC">
        <w:t xml:space="preserve">: Client shall be responsible for identifying and complying with all Laws applicable to Client in connection with its obligations in this SAT Addendum, including but not limited to those affecting the circumstances in which Applicants may be tested, those related to making appropriate disclosures and those related to obtaining appropriate consent from each Applicant as part of the testing process. </w:t>
      </w:r>
    </w:p>
    <w:p w14:paraId="060329A4" w14:textId="77777777" w:rsidR="00935ECC" w:rsidRPr="00935ECC" w:rsidRDefault="00935ECC" w:rsidP="00935ECC">
      <w:pPr>
        <w:numPr>
          <w:ilvl w:val="1"/>
          <w:numId w:val="6"/>
        </w:numPr>
      </w:pPr>
      <w:r w:rsidRPr="00935ECC">
        <w:rPr>
          <w:u w:val="single"/>
        </w:rPr>
        <w:t>Authorization for Additional Testing</w:t>
      </w:r>
      <w:r w:rsidRPr="00935ECC">
        <w:t xml:space="preserve">: Client authorizes </w:t>
      </w:r>
      <w:proofErr w:type="spellStart"/>
      <w:r w:rsidRPr="00935ECC">
        <w:t>Vetzu</w:t>
      </w:r>
      <w:proofErr w:type="spellEnd"/>
      <w:r w:rsidRPr="00935ECC">
        <w:t xml:space="preserve">, in its good faith discretion, to request specific information from any individual and/or to order additional tests as necessary or appropriate and related to tests performed for Client. Client agrees to pay for additional costs, fees and expenses related to such information requests or additional testing performed. </w:t>
      </w:r>
    </w:p>
    <w:p w14:paraId="426120BE" w14:textId="77777777" w:rsidR="00935ECC" w:rsidRPr="00935ECC" w:rsidRDefault="00935ECC" w:rsidP="00935ECC">
      <w:pPr>
        <w:numPr>
          <w:ilvl w:val="1"/>
          <w:numId w:val="6"/>
        </w:numPr>
        <w:rPr>
          <w:b/>
        </w:rPr>
      </w:pPr>
      <w:r w:rsidRPr="00935ECC">
        <w:rPr>
          <w:u w:val="single"/>
        </w:rPr>
        <w:t>Delayed Results</w:t>
      </w:r>
      <w:r w:rsidRPr="00935ECC">
        <w:t xml:space="preserve">: Client acknowledges that performance of necessary verification procedures may be dependent upon cooperation by Client representatives, tested Applicants, personal physicians and/or health care providers that may possess relevant information. Client agrees that </w:t>
      </w:r>
      <w:proofErr w:type="spellStart"/>
      <w:r w:rsidRPr="00935ECC">
        <w:t>Vetzu</w:t>
      </w:r>
      <w:proofErr w:type="spellEnd"/>
      <w:r w:rsidRPr="00935ECC">
        <w:t xml:space="preserve"> shall have no responsibility for Services or service levels that are delayed or cannot be provided due to lack of such cooperation.</w:t>
      </w:r>
    </w:p>
    <w:p w14:paraId="2331F148" w14:textId="77777777" w:rsidR="00935ECC" w:rsidRPr="00935ECC" w:rsidRDefault="00935ECC" w:rsidP="00935ECC">
      <w:pPr>
        <w:numPr>
          <w:ilvl w:val="1"/>
          <w:numId w:val="6"/>
        </w:numPr>
      </w:pPr>
      <w:r w:rsidRPr="00935ECC">
        <w:rPr>
          <w:u w:val="single"/>
        </w:rPr>
        <w:t>Disclosure/Authorization Retention</w:t>
      </w:r>
      <w:r w:rsidRPr="00935ECC">
        <w:t>: Client shall keep and maintain copies of all Applicant disclosure and authorization forms and Applicant notices for a minimum period of five (5) years (or such longer period as may be required by applicable Laws</w:t>
      </w:r>
      <w:proofErr w:type="gramStart"/>
      <w:r w:rsidRPr="00935ECC">
        <w:t>)</w:t>
      </w:r>
      <w:proofErr w:type="gramEnd"/>
      <w:r w:rsidRPr="00935ECC">
        <w:t xml:space="preserve"> and Client shall promptly make available to </w:t>
      </w:r>
      <w:proofErr w:type="spellStart"/>
      <w:r w:rsidRPr="00935ECC">
        <w:t>Vetzu</w:t>
      </w:r>
      <w:proofErr w:type="spellEnd"/>
      <w:r w:rsidRPr="00935ECC">
        <w:t xml:space="preserve"> for compliance review purposes such records and other documentation reasonably requested.</w:t>
      </w:r>
    </w:p>
    <w:p w14:paraId="4E0220A9" w14:textId="77777777" w:rsidR="00935ECC" w:rsidRPr="00935ECC" w:rsidRDefault="00935ECC" w:rsidP="00935ECC">
      <w:pPr>
        <w:numPr>
          <w:ilvl w:val="0"/>
          <w:numId w:val="7"/>
        </w:numPr>
        <w:tabs>
          <w:tab w:val="num" w:pos="630"/>
        </w:tabs>
      </w:pPr>
      <w:r w:rsidRPr="00935ECC">
        <w:rPr>
          <w:b/>
        </w:rPr>
        <w:t xml:space="preserve">VETZU OBLIGATIONS </w:t>
      </w:r>
    </w:p>
    <w:p w14:paraId="42ABD480" w14:textId="77777777" w:rsidR="00935ECC" w:rsidRPr="00935ECC" w:rsidRDefault="00935ECC" w:rsidP="00935ECC">
      <w:pPr>
        <w:numPr>
          <w:ilvl w:val="1"/>
          <w:numId w:val="8"/>
        </w:numPr>
        <w:tabs>
          <w:tab w:val="clear" w:pos="1440"/>
          <w:tab w:val="num" w:pos="1170"/>
        </w:tabs>
      </w:pPr>
      <w:r w:rsidRPr="00935ECC">
        <w:rPr>
          <w:u w:val="single"/>
        </w:rPr>
        <w:t>Regulatory Compliance</w:t>
      </w:r>
      <w:r w:rsidRPr="00935ECC">
        <w:t xml:space="preserve">: </w:t>
      </w:r>
      <w:proofErr w:type="spellStart"/>
      <w:r w:rsidRPr="00935ECC">
        <w:t>Vetzu</w:t>
      </w:r>
      <w:proofErr w:type="spellEnd"/>
      <w:r w:rsidRPr="00935ECC">
        <w:t xml:space="preserve"> shall be responsible for identifying and complying with all Laws applicable to </w:t>
      </w:r>
      <w:proofErr w:type="spellStart"/>
      <w:r w:rsidRPr="00935ECC">
        <w:t>Vetzu</w:t>
      </w:r>
      <w:proofErr w:type="spellEnd"/>
      <w:r w:rsidRPr="00935ECC">
        <w:t xml:space="preserve"> in connection with its obligations in this SAT Addendum. </w:t>
      </w:r>
      <w:proofErr w:type="spellStart"/>
      <w:r w:rsidRPr="00935ECC">
        <w:t>Vetzu</w:t>
      </w:r>
      <w:proofErr w:type="spellEnd"/>
      <w:r w:rsidRPr="00935ECC">
        <w:t xml:space="preserve"> may act as a </w:t>
      </w:r>
      <w:proofErr w:type="gramStart"/>
      <w:r w:rsidRPr="00935ECC">
        <w:t>Third Party</w:t>
      </w:r>
      <w:proofErr w:type="gramEnd"/>
      <w:r w:rsidRPr="00935ECC">
        <w:t xml:space="preserve"> Administrator (“</w:t>
      </w:r>
      <w:r w:rsidRPr="00935ECC">
        <w:rPr>
          <w:b/>
        </w:rPr>
        <w:t>TPA</w:t>
      </w:r>
      <w:r w:rsidRPr="00935ECC">
        <w:t>”) as that term is defined by the U.S. Department of Transportation (“</w:t>
      </w:r>
      <w:r w:rsidRPr="00935ECC">
        <w:rPr>
          <w:b/>
        </w:rPr>
        <w:t>DOT</w:t>
      </w:r>
      <w:r w:rsidRPr="00935ECC">
        <w:t>”) in administering Client’s drug and alcohol testing program and will comply with DOT regulations to the extent applicable in fulfilling its obligations in this SAT Addendum.</w:t>
      </w:r>
    </w:p>
    <w:p w14:paraId="55041BEC" w14:textId="77777777" w:rsidR="00935ECC" w:rsidRPr="00935ECC" w:rsidRDefault="00935ECC" w:rsidP="00935ECC">
      <w:pPr>
        <w:numPr>
          <w:ilvl w:val="1"/>
          <w:numId w:val="8"/>
        </w:numPr>
        <w:tabs>
          <w:tab w:val="clear" w:pos="1440"/>
          <w:tab w:val="num" w:pos="1170"/>
        </w:tabs>
      </w:pPr>
      <w:r w:rsidRPr="00935ECC">
        <w:rPr>
          <w:u w:val="single"/>
        </w:rPr>
        <w:t>Medical Review Officer</w:t>
      </w:r>
      <w:r w:rsidRPr="00935ECC">
        <w:t>:  MRO services provided under this SAT Addendum shall be performed in accordance with Client-specific requirements, if any.</w:t>
      </w:r>
    </w:p>
    <w:p w14:paraId="19B01C61" w14:textId="77777777" w:rsidR="00935ECC" w:rsidRPr="00935ECC" w:rsidRDefault="00935ECC" w:rsidP="00935ECC">
      <w:pPr>
        <w:numPr>
          <w:ilvl w:val="1"/>
          <w:numId w:val="8"/>
        </w:numPr>
        <w:tabs>
          <w:tab w:val="clear" w:pos="1440"/>
          <w:tab w:val="num" w:pos="1170"/>
        </w:tabs>
      </w:pPr>
      <w:proofErr w:type="spellStart"/>
      <w:r w:rsidRPr="00935ECC">
        <w:t>Vetzu</w:t>
      </w:r>
      <w:proofErr w:type="spellEnd"/>
      <w:r w:rsidRPr="00935ECC">
        <w:t xml:space="preserve"> will use reasonable efforts to promptly report non-negative test results after receiving all necessary testing results and documentation required for reporting.</w:t>
      </w:r>
    </w:p>
    <w:p w14:paraId="143D8171" w14:textId="77777777" w:rsidR="00935ECC" w:rsidRPr="00935ECC" w:rsidRDefault="00935ECC" w:rsidP="00935ECC">
      <w:pPr>
        <w:numPr>
          <w:ilvl w:val="1"/>
          <w:numId w:val="8"/>
        </w:numPr>
        <w:tabs>
          <w:tab w:val="clear" w:pos="1440"/>
          <w:tab w:val="num" w:pos="1170"/>
        </w:tabs>
      </w:pPr>
      <w:r w:rsidRPr="00935ECC">
        <w:t xml:space="preserve">If applicable, test information maintained by </w:t>
      </w:r>
      <w:proofErr w:type="spellStart"/>
      <w:r w:rsidRPr="00935ECC">
        <w:t>Vetzu</w:t>
      </w:r>
      <w:proofErr w:type="spellEnd"/>
      <w:r w:rsidRPr="00935ECC">
        <w:t xml:space="preserve"> for DOT testing programs will be provided to Client for its use in completing the DOT Drug and Alcohol Testing MIS Data Collection Form.</w:t>
      </w:r>
    </w:p>
    <w:p w14:paraId="169B9B7A" w14:textId="77777777" w:rsidR="00935ECC" w:rsidRPr="00935ECC" w:rsidRDefault="00935ECC" w:rsidP="00935ECC">
      <w:pPr>
        <w:numPr>
          <w:ilvl w:val="1"/>
          <w:numId w:val="8"/>
        </w:numPr>
        <w:tabs>
          <w:tab w:val="clear" w:pos="1440"/>
          <w:tab w:val="num" w:pos="1170"/>
        </w:tabs>
      </w:pPr>
      <w:r w:rsidRPr="00935ECC">
        <w:lastRenderedPageBreak/>
        <w:t xml:space="preserve">Except as otherwise required or authorized by applicable Laws, </w:t>
      </w:r>
      <w:proofErr w:type="spellStart"/>
      <w:r w:rsidRPr="00935ECC">
        <w:t>Vetzu</w:t>
      </w:r>
      <w:proofErr w:type="spellEnd"/>
      <w:r w:rsidRPr="00935ECC">
        <w:t xml:space="preserve"> will not release individual test results to any person without first obtaining specific written authorization from the tested Applicant; provided, however, that nothing in this paragraph shall prohibit </w:t>
      </w:r>
      <w:proofErr w:type="spellStart"/>
      <w:r w:rsidRPr="00935ECC">
        <w:t>Vetzu</w:t>
      </w:r>
      <w:proofErr w:type="spellEnd"/>
      <w:r w:rsidRPr="00935ECC">
        <w:t xml:space="preserve"> from releasing such information to: (a) Client or its agents; (b) any federal, state, or local agency with regulatory authority over Client’s testing program, the tested individual, or as part of an accident investigation, etc.; (c) comply with its legal obligations related to requests resulting from legal action initiated by an Applicant, including but not limited to lawsuits, unemployment hearings, workers’ compensation hearings, or grievances; or (d) in response to court orders or valid subpoenas.</w:t>
      </w:r>
    </w:p>
    <w:p w14:paraId="6AA85F79" w14:textId="77777777" w:rsidR="00935ECC" w:rsidRPr="00935ECC" w:rsidRDefault="00935ECC" w:rsidP="00935ECC">
      <w:pPr>
        <w:rPr>
          <w:b/>
        </w:rPr>
      </w:pPr>
    </w:p>
    <w:p w14:paraId="5863A216" w14:textId="77777777" w:rsidR="00935ECC" w:rsidRPr="00935ECC" w:rsidRDefault="00935ECC" w:rsidP="00935ECC">
      <w:pPr>
        <w:numPr>
          <w:ilvl w:val="0"/>
          <w:numId w:val="9"/>
        </w:numPr>
        <w:rPr>
          <w:b/>
        </w:rPr>
      </w:pPr>
      <w:r w:rsidRPr="00935ECC">
        <w:rPr>
          <w:b/>
        </w:rPr>
        <w:t>SIGNATURE AUTHORITY</w:t>
      </w:r>
    </w:p>
    <w:p w14:paraId="014E0CDF" w14:textId="77777777" w:rsidR="00935ECC" w:rsidRPr="00935ECC" w:rsidRDefault="00935ECC" w:rsidP="00935ECC">
      <w:r w:rsidRPr="00935ECC">
        <w:t xml:space="preserve">Each party represents that it has caused this SAT Addendum to be executed on its behalf as of the date written below by a representative empowered to bind that party with respect to the obligations in this SAT Addendum.  </w:t>
      </w:r>
    </w:p>
    <w:p w14:paraId="2A50898D" w14:textId="77777777" w:rsidR="00935ECC" w:rsidRPr="00935ECC" w:rsidRDefault="00935ECC" w:rsidP="00935ECC">
      <w:pPr>
        <w:rPr>
          <w:b/>
        </w:rPr>
      </w:pPr>
    </w:p>
    <w:p w14:paraId="6EB9A516" w14:textId="77777777" w:rsidR="00935ECC" w:rsidRPr="00935ECC" w:rsidRDefault="00935ECC" w:rsidP="00935ECC">
      <w:pPr>
        <w:rPr>
          <w:b/>
        </w:rPr>
      </w:pPr>
      <w:r w:rsidRPr="00935ECC">
        <w:rPr>
          <w:b/>
        </w:rPr>
        <w:t>FOR CLIENT:</w:t>
      </w:r>
      <w:r w:rsidRPr="00935ECC">
        <w:rPr>
          <w:b/>
        </w:rPr>
        <w:tab/>
      </w:r>
      <w:r w:rsidRPr="00935ECC">
        <w:rPr>
          <w:b/>
        </w:rPr>
        <w:tab/>
      </w:r>
      <w:r w:rsidRPr="00935ECC">
        <w:rPr>
          <w:b/>
        </w:rPr>
        <w:tab/>
      </w:r>
      <w:r w:rsidRPr="00935ECC">
        <w:rPr>
          <w:b/>
        </w:rPr>
        <w:tab/>
      </w:r>
      <w:r w:rsidRPr="00935ECC">
        <w:rPr>
          <w:b/>
        </w:rPr>
        <w:tab/>
        <w:t>FOR VETZU:</w:t>
      </w:r>
    </w:p>
    <w:tbl>
      <w:tblPr>
        <w:tblStyle w:val="TableGrid"/>
        <w:tblW w:w="0" w:type="auto"/>
        <w:tblInd w:w="115" w:type="dxa"/>
        <w:tblCellMar>
          <w:top w:w="14" w:type="dxa"/>
          <w:left w:w="115" w:type="dxa"/>
          <w:right w:w="115" w:type="dxa"/>
        </w:tblCellMar>
        <w:tblLook w:val="04A0" w:firstRow="1" w:lastRow="0" w:firstColumn="1" w:lastColumn="0" w:noHBand="0" w:noVBand="1"/>
      </w:tblPr>
      <w:tblGrid>
        <w:gridCol w:w="4210"/>
        <w:gridCol w:w="703"/>
        <w:gridCol w:w="4322"/>
      </w:tblGrid>
      <w:tr w:rsidR="00935ECC" w:rsidRPr="00935ECC" w14:paraId="6B76FAFD" w14:textId="77777777" w:rsidTr="001239B1">
        <w:trPr>
          <w:trHeight w:val="575"/>
        </w:trPr>
        <w:tc>
          <w:tcPr>
            <w:tcW w:w="4210" w:type="dxa"/>
            <w:tcBorders>
              <w:right w:val="single" w:sz="4" w:space="0" w:color="auto"/>
            </w:tcBorders>
          </w:tcPr>
          <w:p w14:paraId="62FF318B" w14:textId="77777777" w:rsidR="00935ECC" w:rsidRPr="00935ECC" w:rsidRDefault="00935ECC" w:rsidP="00935ECC">
            <w:pPr>
              <w:spacing w:after="160" w:line="259" w:lineRule="auto"/>
            </w:pPr>
            <w:r w:rsidRPr="00935ECC">
              <w:t>Client Representative Signature:</w:t>
            </w:r>
          </w:p>
        </w:tc>
        <w:tc>
          <w:tcPr>
            <w:tcW w:w="703" w:type="dxa"/>
            <w:tcBorders>
              <w:top w:val="nil"/>
              <w:left w:val="single" w:sz="4" w:space="0" w:color="auto"/>
              <w:bottom w:val="nil"/>
              <w:right w:val="single" w:sz="4" w:space="0" w:color="auto"/>
            </w:tcBorders>
          </w:tcPr>
          <w:p w14:paraId="731C7CFB" w14:textId="77777777" w:rsidR="00935ECC" w:rsidRPr="00935ECC" w:rsidRDefault="00935ECC" w:rsidP="00935ECC">
            <w:pPr>
              <w:spacing w:after="160" w:line="259" w:lineRule="auto"/>
            </w:pPr>
          </w:p>
        </w:tc>
        <w:tc>
          <w:tcPr>
            <w:tcW w:w="4322" w:type="dxa"/>
            <w:tcBorders>
              <w:left w:val="single" w:sz="4" w:space="0" w:color="auto"/>
            </w:tcBorders>
          </w:tcPr>
          <w:p w14:paraId="26F3A112" w14:textId="77777777" w:rsidR="00935ECC" w:rsidRPr="00935ECC" w:rsidRDefault="00935ECC" w:rsidP="00935ECC">
            <w:pPr>
              <w:spacing w:after="160" w:line="259" w:lineRule="auto"/>
            </w:pPr>
            <w:proofErr w:type="spellStart"/>
            <w:r w:rsidRPr="00935ECC">
              <w:t>Vetzu</w:t>
            </w:r>
            <w:proofErr w:type="spellEnd"/>
            <w:r w:rsidRPr="00935ECC">
              <w:t xml:space="preserve"> Representative Signature:</w:t>
            </w:r>
          </w:p>
        </w:tc>
      </w:tr>
      <w:tr w:rsidR="00935ECC" w:rsidRPr="00935ECC" w14:paraId="2607B7F1" w14:textId="77777777" w:rsidTr="001239B1">
        <w:trPr>
          <w:trHeight w:val="530"/>
        </w:trPr>
        <w:tc>
          <w:tcPr>
            <w:tcW w:w="4210" w:type="dxa"/>
            <w:tcBorders>
              <w:right w:val="single" w:sz="4" w:space="0" w:color="auto"/>
            </w:tcBorders>
          </w:tcPr>
          <w:p w14:paraId="4E87B8BD" w14:textId="77777777" w:rsidR="00935ECC" w:rsidRPr="00935ECC" w:rsidRDefault="00935ECC" w:rsidP="00935ECC">
            <w:pPr>
              <w:spacing w:after="160" w:line="259" w:lineRule="auto"/>
            </w:pPr>
            <w:r w:rsidRPr="00935ECC">
              <w:t>Print Name:</w:t>
            </w:r>
          </w:p>
          <w:p w14:paraId="47C71C2D" w14:textId="77777777" w:rsidR="00935ECC" w:rsidRPr="00935ECC" w:rsidRDefault="00935ECC" w:rsidP="00935ECC">
            <w:pPr>
              <w:spacing w:after="160" w:line="259" w:lineRule="auto"/>
            </w:pPr>
          </w:p>
          <w:p w14:paraId="3C90CB4E" w14:textId="77777777" w:rsidR="00935ECC" w:rsidRPr="00935ECC" w:rsidRDefault="00935ECC" w:rsidP="00935ECC">
            <w:pPr>
              <w:spacing w:after="160" w:line="259" w:lineRule="auto"/>
            </w:pPr>
            <w:r w:rsidRPr="00935ECC">
              <w:rPr>
                <w:rFonts w:eastAsia="Times"/>
              </w:rPr>
              <w:fldChar w:fldCharType="begin">
                <w:ffData>
                  <w:name w:val="Text1"/>
                  <w:enabled/>
                  <w:calcOnExit w:val="0"/>
                  <w:textInput>
                    <w:maxLength w:val="50"/>
                    <w:format w:val="TITLE CASE"/>
                  </w:textInput>
                </w:ffData>
              </w:fldChar>
            </w:r>
            <w:r w:rsidRPr="00935ECC">
              <w:rPr>
                <w:rFonts w:eastAsia="Times"/>
              </w:rPr>
              <w:instrText xml:space="preserve"> FORMTEXT </w:instrText>
            </w:r>
            <w:r w:rsidRPr="00935ECC">
              <w:rPr>
                <w:rFonts w:eastAsia="Times"/>
              </w:rPr>
            </w:r>
            <w:r w:rsidRPr="00935ECC">
              <w:rPr>
                <w:rFonts w:eastAsia="Times"/>
              </w:rPr>
              <w:fldChar w:fldCharType="separate"/>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fldChar w:fldCharType="end"/>
            </w:r>
          </w:p>
        </w:tc>
        <w:tc>
          <w:tcPr>
            <w:tcW w:w="703" w:type="dxa"/>
            <w:tcBorders>
              <w:top w:val="nil"/>
              <w:left w:val="single" w:sz="4" w:space="0" w:color="auto"/>
              <w:bottom w:val="nil"/>
              <w:right w:val="single" w:sz="4" w:space="0" w:color="auto"/>
            </w:tcBorders>
          </w:tcPr>
          <w:p w14:paraId="19D44AD3" w14:textId="77777777" w:rsidR="00935ECC" w:rsidRPr="00935ECC" w:rsidRDefault="00935ECC" w:rsidP="00935ECC">
            <w:pPr>
              <w:spacing w:after="160" w:line="259" w:lineRule="auto"/>
            </w:pPr>
          </w:p>
        </w:tc>
        <w:tc>
          <w:tcPr>
            <w:tcW w:w="4322" w:type="dxa"/>
            <w:tcBorders>
              <w:left w:val="single" w:sz="4" w:space="0" w:color="auto"/>
            </w:tcBorders>
          </w:tcPr>
          <w:p w14:paraId="0047522E" w14:textId="77777777" w:rsidR="00935ECC" w:rsidRPr="00935ECC" w:rsidRDefault="00935ECC" w:rsidP="00935ECC">
            <w:pPr>
              <w:spacing w:after="160" w:line="259" w:lineRule="auto"/>
            </w:pPr>
            <w:r w:rsidRPr="00935ECC">
              <w:t>Print Name:</w:t>
            </w:r>
          </w:p>
          <w:p w14:paraId="4B2853CD" w14:textId="77777777" w:rsidR="00935ECC" w:rsidRPr="00935ECC" w:rsidRDefault="00935ECC" w:rsidP="00935ECC">
            <w:pPr>
              <w:spacing w:after="160" w:line="259" w:lineRule="auto"/>
            </w:pPr>
          </w:p>
          <w:p w14:paraId="6523B5F0" w14:textId="77777777" w:rsidR="00935ECC" w:rsidRPr="00935ECC" w:rsidRDefault="00935ECC" w:rsidP="00935ECC">
            <w:pPr>
              <w:spacing w:after="160" w:line="259" w:lineRule="auto"/>
            </w:pPr>
            <w:r w:rsidRPr="00935ECC">
              <w:rPr>
                <w:rFonts w:eastAsia="Times"/>
              </w:rPr>
              <w:fldChar w:fldCharType="begin">
                <w:ffData>
                  <w:name w:val="Text1"/>
                  <w:enabled/>
                  <w:calcOnExit w:val="0"/>
                  <w:textInput>
                    <w:maxLength w:val="50"/>
                    <w:format w:val="TITLE CASE"/>
                  </w:textInput>
                </w:ffData>
              </w:fldChar>
            </w:r>
            <w:r w:rsidRPr="00935ECC">
              <w:rPr>
                <w:rFonts w:eastAsia="Times"/>
              </w:rPr>
              <w:instrText xml:space="preserve"> FORMTEXT </w:instrText>
            </w:r>
            <w:r w:rsidRPr="00935ECC">
              <w:rPr>
                <w:rFonts w:eastAsia="Times"/>
              </w:rPr>
            </w:r>
            <w:r w:rsidRPr="00935ECC">
              <w:rPr>
                <w:rFonts w:eastAsia="Times"/>
              </w:rPr>
              <w:fldChar w:fldCharType="separate"/>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fldChar w:fldCharType="end"/>
            </w:r>
          </w:p>
        </w:tc>
      </w:tr>
      <w:tr w:rsidR="00935ECC" w:rsidRPr="00935ECC" w14:paraId="0110B888" w14:textId="77777777" w:rsidTr="001239B1">
        <w:trPr>
          <w:trHeight w:val="530"/>
        </w:trPr>
        <w:tc>
          <w:tcPr>
            <w:tcW w:w="4210" w:type="dxa"/>
            <w:tcBorders>
              <w:right w:val="single" w:sz="4" w:space="0" w:color="auto"/>
            </w:tcBorders>
          </w:tcPr>
          <w:p w14:paraId="112866C7" w14:textId="77777777" w:rsidR="00935ECC" w:rsidRPr="00935ECC" w:rsidRDefault="00935ECC" w:rsidP="00935ECC">
            <w:pPr>
              <w:spacing w:after="160" w:line="259" w:lineRule="auto"/>
            </w:pPr>
            <w:r w:rsidRPr="00935ECC">
              <w:t>Title:</w:t>
            </w:r>
          </w:p>
          <w:p w14:paraId="55FBAC0B" w14:textId="77777777" w:rsidR="00935ECC" w:rsidRPr="00935ECC" w:rsidRDefault="00935ECC" w:rsidP="00935ECC">
            <w:pPr>
              <w:spacing w:after="160" w:line="259" w:lineRule="auto"/>
            </w:pPr>
          </w:p>
          <w:p w14:paraId="33041456" w14:textId="77777777" w:rsidR="00935ECC" w:rsidRPr="00935ECC" w:rsidRDefault="00935ECC" w:rsidP="00935ECC">
            <w:pPr>
              <w:spacing w:after="160" w:line="259" w:lineRule="auto"/>
            </w:pPr>
            <w:r w:rsidRPr="00935ECC">
              <w:rPr>
                <w:rFonts w:eastAsia="Times"/>
              </w:rPr>
              <w:fldChar w:fldCharType="begin">
                <w:ffData>
                  <w:name w:val="Text1"/>
                  <w:enabled/>
                  <w:calcOnExit w:val="0"/>
                  <w:textInput>
                    <w:maxLength w:val="50"/>
                    <w:format w:val="TITLE CASE"/>
                  </w:textInput>
                </w:ffData>
              </w:fldChar>
            </w:r>
            <w:r w:rsidRPr="00935ECC">
              <w:rPr>
                <w:rFonts w:eastAsia="Times"/>
              </w:rPr>
              <w:instrText xml:space="preserve"> FORMTEXT </w:instrText>
            </w:r>
            <w:r w:rsidRPr="00935ECC">
              <w:rPr>
                <w:rFonts w:eastAsia="Times"/>
              </w:rPr>
            </w:r>
            <w:r w:rsidRPr="00935ECC">
              <w:rPr>
                <w:rFonts w:eastAsia="Times"/>
              </w:rPr>
              <w:fldChar w:fldCharType="separate"/>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fldChar w:fldCharType="end"/>
            </w:r>
          </w:p>
        </w:tc>
        <w:tc>
          <w:tcPr>
            <w:tcW w:w="703" w:type="dxa"/>
            <w:tcBorders>
              <w:top w:val="nil"/>
              <w:left w:val="single" w:sz="4" w:space="0" w:color="auto"/>
              <w:bottom w:val="nil"/>
              <w:right w:val="single" w:sz="4" w:space="0" w:color="auto"/>
            </w:tcBorders>
          </w:tcPr>
          <w:p w14:paraId="3E8D0820" w14:textId="77777777" w:rsidR="00935ECC" w:rsidRPr="00935ECC" w:rsidRDefault="00935ECC" w:rsidP="00935ECC">
            <w:pPr>
              <w:spacing w:after="160" w:line="259" w:lineRule="auto"/>
            </w:pPr>
          </w:p>
        </w:tc>
        <w:tc>
          <w:tcPr>
            <w:tcW w:w="4322" w:type="dxa"/>
            <w:tcBorders>
              <w:left w:val="single" w:sz="4" w:space="0" w:color="auto"/>
            </w:tcBorders>
          </w:tcPr>
          <w:p w14:paraId="437D8825" w14:textId="77777777" w:rsidR="00935ECC" w:rsidRPr="00935ECC" w:rsidRDefault="00935ECC" w:rsidP="00935ECC">
            <w:pPr>
              <w:spacing w:after="160" w:line="259" w:lineRule="auto"/>
            </w:pPr>
            <w:r w:rsidRPr="00935ECC">
              <w:t>Title:</w:t>
            </w:r>
          </w:p>
          <w:p w14:paraId="41DCC916" w14:textId="77777777" w:rsidR="00935ECC" w:rsidRPr="00935ECC" w:rsidRDefault="00935ECC" w:rsidP="00935ECC">
            <w:pPr>
              <w:spacing w:after="160" w:line="259" w:lineRule="auto"/>
            </w:pPr>
          </w:p>
          <w:p w14:paraId="4E1B1C12" w14:textId="77777777" w:rsidR="00935ECC" w:rsidRPr="00935ECC" w:rsidRDefault="00935ECC" w:rsidP="00935ECC">
            <w:pPr>
              <w:spacing w:after="160" w:line="259" w:lineRule="auto"/>
            </w:pPr>
            <w:r w:rsidRPr="00935ECC">
              <w:rPr>
                <w:rFonts w:eastAsia="Times"/>
              </w:rPr>
              <w:fldChar w:fldCharType="begin">
                <w:ffData>
                  <w:name w:val="Text1"/>
                  <w:enabled/>
                  <w:calcOnExit w:val="0"/>
                  <w:textInput>
                    <w:maxLength w:val="50"/>
                    <w:format w:val="TITLE CASE"/>
                  </w:textInput>
                </w:ffData>
              </w:fldChar>
            </w:r>
            <w:r w:rsidRPr="00935ECC">
              <w:rPr>
                <w:rFonts w:eastAsia="Times"/>
              </w:rPr>
              <w:instrText xml:space="preserve"> FORMTEXT </w:instrText>
            </w:r>
            <w:r w:rsidRPr="00935ECC">
              <w:rPr>
                <w:rFonts w:eastAsia="Times"/>
              </w:rPr>
            </w:r>
            <w:r w:rsidRPr="00935ECC">
              <w:rPr>
                <w:rFonts w:eastAsia="Times"/>
              </w:rPr>
              <w:fldChar w:fldCharType="separate"/>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fldChar w:fldCharType="end"/>
            </w:r>
          </w:p>
        </w:tc>
      </w:tr>
      <w:tr w:rsidR="00935ECC" w:rsidRPr="00935ECC" w14:paraId="147DDF86" w14:textId="77777777" w:rsidTr="001239B1">
        <w:trPr>
          <w:trHeight w:val="538"/>
        </w:trPr>
        <w:tc>
          <w:tcPr>
            <w:tcW w:w="4210" w:type="dxa"/>
            <w:tcBorders>
              <w:right w:val="single" w:sz="4" w:space="0" w:color="auto"/>
            </w:tcBorders>
          </w:tcPr>
          <w:p w14:paraId="7983F2A6" w14:textId="77777777" w:rsidR="00935ECC" w:rsidRPr="00935ECC" w:rsidRDefault="00935ECC" w:rsidP="00935ECC">
            <w:pPr>
              <w:spacing w:after="160" w:line="259" w:lineRule="auto"/>
            </w:pPr>
            <w:r w:rsidRPr="00935ECC">
              <w:t>Date:</w:t>
            </w:r>
          </w:p>
          <w:p w14:paraId="5600C1D1" w14:textId="77777777" w:rsidR="00935ECC" w:rsidRPr="00935ECC" w:rsidRDefault="00935ECC" w:rsidP="00935ECC">
            <w:pPr>
              <w:spacing w:after="160" w:line="259" w:lineRule="auto"/>
            </w:pPr>
          </w:p>
          <w:p w14:paraId="76184983" w14:textId="77777777" w:rsidR="00935ECC" w:rsidRPr="00935ECC" w:rsidRDefault="00935ECC" w:rsidP="00935ECC">
            <w:pPr>
              <w:spacing w:after="160" w:line="259" w:lineRule="auto"/>
            </w:pPr>
            <w:r w:rsidRPr="00935ECC">
              <w:rPr>
                <w:rFonts w:eastAsia="Times"/>
              </w:rPr>
              <w:fldChar w:fldCharType="begin">
                <w:ffData>
                  <w:name w:val="Text1"/>
                  <w:enabled/>
                  <w:calcOnExit w:val="0"/>
                  <w:textInput>
                    <w:maxLength w:val="50"/>
                    <w:format w:val="TITLE CASE"/>
                  </w:textInput>
                </w:ffData>
              </w:fldChar>
            </w:r>
            <w:r w:rsidRPr="00935ECC">
              <w:rPr>
                <w:rFonts w:eastAsia="Times"/>
              </w:rPr>
              <w:instrText xml:space="preserve"> FORMTEXT </w:instrText>
            </w:r>
            <w:r w:rsidRPr="00935ECC">
              <w:rPr>
                <w:rFonts w:eastAsia="Times"/>
              </w:rPr>
            </w:r>
            <w:r w:rsidRPr="00935ECC">
              <w:rPr>
                <w:rFonts w:eastAsia="Times"/>
              </w:rPr>
              <w:fldChar w:fldCharType="separate"/>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fldChar w:fldCharType="end"/>
            </w:r>
          </w:p>
        </w:tc>
        <w:tc>
          <w:tcPr>
            <w:tcW w:w="703" w:type="dxa"/>
            <w:tcBorders>
              <w:top w:val="nil"/>
              <w:left w:val="single" w:sz="4" w:space="0" w:color="auto"/>
              <w:bottom w:val="nil"/>
              <w:right w:val="single" w:sz="4" w:space="0" w:color="auto"/>
            </w:tcBorders>
          </w:tcPr>
          <w:p w14:paraId="1CC91796" w14:textId="77777777" w:rsidR="00935ECC" w:rsidRPr="00935ECC" w:rsidRDefault="00935ECC" w:rsidP="00935ECC">
            <w:pPr>
              <w:spacing w:after="160" w:line="259" w:lineRule="auto"/>
            </w:pPr>
          </w:p>
        </w:tc>
        <w:tc>
          <w:tcPr>
            <w:tcW w:w="4322" w:type="dxa"/>
            <w:tcBorders>
              <w:left w:val="single" w:sz="4" w:space="0" w:color="auto"/>
            </w:tcBorders>
          </w:tcPr>
          <w:p w14:paraId="699A85AB" w14:textId="77777777" w:rsidR="00935ECC" w:rsidRPr="00935ECC" w:rsidRDefault="00935ECC" w:rsidP="00935ECC">
            <w:pPr>
              <w:spacing w:after="160" w:line="259" w:lineRule="auto"/>
            </w:pPr>
            <w:r w:rsidRPr="00935ECC">
              <w:t>Date:</w:t>
            </w:r>
          </w:p>
          <w:p w14:paraId="6806E974" w14:textId="77777777" w:rsidR="00935ECC" w:rsidRPr="00935ECC" w:rsidRDefault="00935ECC" w:rsidP="00935ECC">
            <w:pPr>
              <w:spacing w:after="160" w:line="259" w:lineRule="auto"/>
            </w:pPr>
          </w:p>
          <w:p w14:paraId="6C36FC67" w14:textId="77777777" w:rsidR="00935ECC" w:rsidRPr="00935ECC" w:rsidRDefault="00935ECC" w:rsidP="00935ECC">
            <w:pPr>
              <w:spacing w:after="160" w:line="259" w:lineRule="auto"/>
            </w:pPr>
            <w:r w:rsidRPr="00935ECC">
              <w:rPr>
                <w:rFonts w:eastAsia="Times"/>
              </w:rPr>
              <w:fldChar w:fldCharType="begin">
                <w:ffData>
                  <w:name w:val="Text1"/>
                  <w:enabled/>
                  <w:calcOnExit w:val="0"/>
                  <w:textInput>
                    <w:maxLength w:val="50"/>
                    <w:format w:val="TITLE CASE"/>
                  </w:textInput>
                </w:ffData>
              </w:fldChar>
            </w:r>
            <w:r w:rsidRPr="00935ECC">
              <w:rPr>
                <w:rFonts w:eastAsia="Times"/>
              </w:rPr>
              <w:instrText xml:space="preserve"> FORMTEXT </w:instrText>
            </w:r>
            <w:r w:rsidRPr="00935ECC">
              <w:rPr>
                <w:rFonts w:eastAsia="Times"/>
              </w:rPr>
            </w:r>
            <w:r w:rsidRPr="00935ECC">
              <w:rPr>
                <w:rFonts w:eastAsia="Times"/>
              </w:rPr>
              <w:fldChar w:fldCharType="separate"/>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t> </w:t>
            </w:r>
            <w:r w:rsidRPr="00935ECC">
              <w:rPr>
                <w:rFonts w:eastAsia="Times"/>
              </w:rPr>
              <w:fldChar w:fldCharType="end"/>
            </w:r>
          </w:p>
        </w:tc>
      </w:tr>
    </w:tbl>
    <w:p w14:paraId="3BF4E4EE" w14:textId="77777777" w:rsidR="00935ECC" w:rsidRPr="00935ECC" w:rsidRDefault="00935ECC" w:rsidP="00935ECC"/>
    <w:p w14:paraId="3060E4F5" w14:textId="0CA38A19" w:rsidR="00D62CC6" w:rsidRPr="00935ECC" w:rsidRDefault="00D62CC6" w:rsidP="00935ECC"/>
    <w:sectPr w:rsidR="00D62CC6" w:rsidRPr="00935ECC" w:rsidSect="001473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88"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6C1C" w14:textId="77777777" w:rsidR="000819BC" w:rsidRDefault="000819BC" w:rsidP="00132EE8">
      <w:pPr>
        <w:spacing w:after="0" w:line="240" w:lineRule="auto"/>
      </w:pPr>
      <w:r>
        <w:separator/>
      </w:r>
    </w:p>
  </w:endnote>
  <w:endnote w:type="continuationSeparator" w:id="0">
    <w:p w14:paraId="4D77B214" w14:textId="77777777" w:rsidR="000819BC" w:rsidRDefault="000819BC" w:rsidP="0013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0608" w14:textId="77777777" w:rsidR="00CB41D9" w:rsidRDefault="00CB4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C5E" w14:textId="77777777" w:rsidR="00CB41D9" w:rsidRDefault="00CB41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0ACE" w14:textId="77777777" w:rsidR="00CB41D9" w:rsidRDefault="00CB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3C81" w14:textId="77777777" w:rsidR="000819BC" w:rsidRDefault="000819BC" w:rsidP="00132EE8">
      <w:pPr>
        <w:spacing w:after="0" w:line="240" w:lineRule="auto"/>
      </w:pPr>
      <w:r>
        <w:separator/>
      </w:r>
    </w:p>
  </w:footnote>
  <w:footnote w:type="continuationSeparator" w:id="0">
    <w:p w14:paraId="783DCBFE" w14:textId="77777777" w:rsidR="000819BC" w:rsidRDefault="000819BC" w:rsidP="0013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37F" w14:textId="5F89D37B" w:rsidR="00132EE8" w:rsidRDefault="000819BC">
    <w:pPr>
      <w:pStyle w:val="Header"/>
    </w:pPr>
    <w:r>
      <w:rPr>
        <w:noProof/>
      </w:rPr>
      <w:pict w14:anchorId="45830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13438" o:spid="_x0000_s2050" type="#_x0000_t75" alt="" style="position:absolute;margin-left:0;margin-top:0;width:613.4pt;height:797.45pt;z-index:-251657216;mso-wrap-edited:f;mso-width-percent:0;mso-height-percent:0;mso-position-horizontal:center;mso-position-horizontal-relative:margin;mso-position-vertical:center;mso-position-vertical-relative:margin;mso-width-percent:0;mso-height-percent:0" o:allowincell="f">
          <v:imagedata r:id="rId1" o:title="Vetz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E6F5" w14:textId="446F6930" w:rsidR="00132EE8" w:rsidRDefault="001473F5" w:rsidP="001473F5">
    <w:pPr>
      <w:pStyle w:val="Header"/>
    </w:pPr>
    <w:r>
      <w:rPr>
        <w:noProof/>
      </w:rPr>
      <w:drawing>
        <wp:anchor distT="0" distB="0" distL="114300" distR="114300" simplePos="0" relativeHeight="251660288" behindDoc="0" locked="0" layoutInCell="1" allowOverlap="1" wp14:anchorId="012339DF" wp14:editId="65CFE9E6">
          <wp:simplePos x="0" y="0"/>
          <wp:positionH relativeFrom="page">
            <wp:align>right</wp:align>
          </wp:positionH>
          <wp:positionV relativeFrom="page">
            <wp:posOffset>113665</wp:posOffset>
          </wp:positionV>
          <wp:extent cx="7863840" cy="9942576"/>
          <wp:effectExtent l="0" t="0" r="381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863840" cy="994257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68" w14:textId="2354A78F" w:rsidR="00132EE8" w:rsidRDefault="000819BC">
    <w:pPr>
      <w:pStyle w:val="Header"/>
    </w:pPr>
    <w:r>
      <w:rPr>
        <w:noProof/>
      </w:rPr>
      <w:pict w14:anchorId="01AC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13437" o:spid="_x0000_s2049" type="#_x0000_t75" alt="" style="position:absolute;margin-left:0;margin-top:0;width:613.4pt;height:797.45pt;z-index:-251658240;mso-wrap-edited:f;mso-width-percent:0;mso-height-percent:0;mso-position-horizontal:center;mso-position-horizontal-relative:margin;mso-position-vertical:center;mso-position-vertical-relative:margin;mso-width-percent:0;mso-height-percent:0" o:allowincell="f">
          <v:imagedata r:id="rId1" o:title="Vetz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7B2"/>
    <w:multiLevelType w:val="hybridMultilevel"/>
    <w:tmpl w:val="5650BD0C"/>
    <w:lvl w:ilvl="0" w:tplc="F8A0A12C">
      <w:start w:val="1"/>
      <w:numFmt w:val="upperLetter"/>
      <w:lvlText w:val="%1."/>
      <w:lvlJc w:val="left"/>
      <w:pPr>
        <w:ind w:left="366" w:hanging="266"/>
      </w:pPr>
      <w:rPr>
        <w:rFonts w:ascii="Times New Roman" w:eastAsia="Calibri" w:hAnsi="Times New Roman" w:cs="Times New Roman" w:hint="default"/>
        <w:b/>
        <w:bCs/>
        <w:w w:val="100"/>
        <w:sz w:val="22"/>
        <w:szCs w:val="22"/>
      </w:rPr>
    </w:lvl>
    <w:lvl w:ilvl="1" w:tplc="6B9CCF56">
      <w:numFmt w:val="bullet"/>
      <w:lvlText w:val="•"/>
      <w:lvlJc w:val="left"/>
      <w:pPr>
        <w:ind w:left="1284" w:hanging="266"/>
      </w:pPr>
      <w:rPr>
        <w:rFonts w:hint="default"/>
      </w:rPr>
    </w:lvl>
    <w:lvl w:ilvl="2" w:tplc="939EB9AC">
      <w:numFmt w:val="bullet"/>
      <w:lvlText w:val="•"/>
      <w:lvlJc w:val="left"/>
      <w:pPr>
        <w:ind w:left="2208" w:hanging="266"/>
      </w:pPr>
      <w:rPr>
        <w:rFonts w:hint="default"/>
      </w:rPr>
    </w:lvl>
    <w:lvl w:ilvl="3" w:tplc="69B80F74">
      <w:numFmt w:val="bullet"/>
      <w:lvlText w:val="•"/>
      <w:lvlJc w:val="left"/>
      <w:pPr>
        <w:ind w:left="3132" w:hanging="266"/>
      </w:pPr>
      <w:rPr>
        <w:rFonts w:hint="default"/>
      </w:rPr>
    </w:lvl>
    <w:lvl w:ilvl="4" w:tplc="1B2EF9F2">
      <w:numFmt w:val="bullet"/>
      <w:lvlText w:val="•"/>
      <w:lvlJc w:val="left"/>
      <w:pPr>
        <w:ind w:left="4056" w:hanging="266"/>
      </w:pPr>
      <w:rPr>
        <w:rFonts w:hint="default"/>
      </w:rPr>
    </w:lvl>
    <w:lvl w:ilvl="5" w:tplc="69544C38">
      <w:numFmt w:val="bullet"/>
      <w:lvlText w:val="•"/>
      <w:lvlJc w:val="left"/>
      <w:pPr>
        <w:ind w:left="4980" w:hanging="266"/>
      </w:pPr>
      <w:rPr>
        <w:rFonts w:hint="default"/>
      </w:rPr>
    </w:lvl>
    <w:lvl w:ilvl="6" w:tplc="5E26759E">
      <w:numFmt w:val="bullet"/>
      <w:lvlText w:val="•"/>
      <w:lvlJc w:val="left"/>
      <w:pPr>
        <w:ind w:left="5904" w:hanging="266"/>
      </w:pPr>
      <w:rPr>
        <w:rFonts w:hint="default"/>
      </w:rPr>
    </w:lvl>
    <w:lvl w:ilvl="7" w:tplc="CFA218AA">
      <w:numFmt w:val="bullet"/>
      <w:lvlText w:val="•"/>
      <w:lvlJc w:val="left"/>
      <w:pPr>
        <w:ind w:left="6828" w:hanging="266"/>
      </w:pPr>
      <w:rPr>
        <w:rFonts w:hint="default"/>
      </w:rPr>
    </w:lvl>
    <w:lvl w:ilvl="8" w:tplc="B9100C0E">
      <w:numFmt w:val="bullet"/>
      <w:lvlText w:val="•"/>
      <w:lvlJc w:val="left"/>
      <w:pPr>
        <w:ind w:left="7752" w:hanging="266"/>
      </w:pPr>
      <w:rPr>
        <w:rFonts w:hint="default"/>
      </w:rPr>
    </w:lvl>
  </w:abstractNum>
  <w:abstractNum w:abstractNumId="1" w15:restartNumberingAfterBreak="0">
    <w:nsid w:val="1DBE3427"/>
    <w:multiLevelType w:val="hybridMultilevel"/>
    <w:tmpl w:val="099AD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A6EEA"/>
    <w:multiLevelType w:val="multilevel"/>
    <w:tmpl w:val="3B70A12E"/>
    <w:lvl w:ilvl="0">
      <w:start w:val="4"/>
      <w:numFmt w:val="decimal"/>
      <w:lvlText w:val="%1.0"/>
      <w:lvlJc w:val="left"/>
      <w:pPr>
        <w:tabs>
          <w:tab w:val="num" w:pos="720"/>
        </w:tabs>
        <w:ind w:left="720" w:hanging="720"/>
      </w:pPr>
      <w:rPr>
        <w:rFonts w:hint="default"/>
        <w:b/>
        <w:color w:val="auto"/>
      </w:rPr>
    </w:lvl>
    <w:lvl w:ilvl="1">
      <w:start w:val="1"/>
      <w:numFmt w:val="decimal"/>
      <w:lvlText w:val="2.%2"/>
      <w:lvlJc w:val="left"/>
      <w:pPr>
        <w:tabs>
          <w:tab w:val="num" w:pos="1440"/>
        </w:tabs>
        <w:ind w:left="1440" w:hanging="720"/>
      </w:pPr>
      <w:rPr>
        <w:rFonts w:ascii="Arial" w:hAnsi="Arial" w:cs="Arial" w:hint="default"/>
        <w:b w:val="0"/>
        <w:i w:val="0"/>
        <w:color w:val="000000"/>
        <w:sz w:val="20"/>
        <w:szCs w:val="20"/>
      </w:rPr>
    </w:lvl>
    <w:lvl w:ilvl="2">
      <w:start w:val="1"/>
      <w:numFmt w:val="decimal"/>
      <w:lvlText w:val="1.%2.%3"/>
      <w:lvlJc w:val="left"/>
      <w:pPr>
        <w:tabs>
          <w:tab w:val="num" w:pos="2070"/>
        </w:tabs>
        <w:ind w:left="2070" w:hanging="720"/>
      </w:pPr>
      <w:rPr>
        <w:rFonts w:hint="default"/>
        <w:b w:val="0"/>
        <w:i w:val="0"/>
        <w:color w:val="000000"/>
        <w:sz w:val="20"/>
        <w:szCs w:val="20"/>
      </w:rPr>
    </w:lvl>
    <w:lvl w:ilvl="3">
      <w:start w:val="1"/>
      <w:numFmt w:val="decimal"/>
      <w:lvlText w:val="%1.%2.%3.%4"/>
      <w:lvlJc w:val="left"/>
      <w:pPr>
        <w:tabs>
          <w:tab w:val="num" w:pos="3240"/>
        </w:tabs>
        <w:ind w:left="2880" w:hanging="720"/>
      </w:pPr>
      <w:rPr>
        <w:rFonts w:hint="default"/>
        <w:b w:val="0"/>
        <w:i w:val="0"/>
        <w:color w:val="00000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 w15:restartNumberingAfterBreak="0">
    <w:nsid w:val="35DD211E"/>
    <w:multiLevelType w:val="multilevel"/>
    <w:tmpl w:val="851AB876"/>
    <w:lvl w:ilvl="0">
      <w:start w:val="3"/>
      <w:numFmt w:val="decimal"/>
      <w:lvlText w:val="%1.0"/>
      <w:lvlJc w:val="left"/>
      <w:pPr>
        <w:tabs>
          <w:tab w:val="num" w:pos="720"/>
        </w:tabs>
        <w:ind w:left="720" w:hanging="720"/>
      </w:pPr>
      <w:rPr>
        <w:rFonts w:hint="default"/>
        <w:b/>
        <w:color w:val="auto"/>
      </w:rPr>
    </w:lvl>
    <w:lvl w:ilvl="1">
      <w:start w:val="1"/>
      <w:numFmt w:val="decimal"/>
      <w:lvlText w:val="3.%2"/>
      <w:lvlJc w:val="left"/>
      <w:pPr>
        <w:tabs>
          <w:tab w:val="num" w:pos="1440"/>
        </w:tabs>
        <w:ind w:left="1440" w:hanging="720"/>
      </w:pPr>
      <w:rPr>
        <w:rFonts w:ascii="Arial" w:hAnsi="Arial" w:cs="Arial" w:hint="default"/>
        <w:b w:val="0"/>
        <w:i w:val="0"/>
        <w:color w:val="000000"/>
        <w:sz w:val="20"/>
        <w:szCs w:val="20"/>
      </w:rPr>
    </w:lvl>
    <w:lvl w:ilvl="2">
      <w:start w:val="1"/>
      <w:numFmt w:val="decimal"/>
      <w:lvlText w:val="1.%2.%3"/>
      <w:lvlJc w:val="left"/>
      <w:pPr>
        <w:tabs>
          <w:tab w:val="num" w:pos="2070"/>
        </w:tabs>
        <w:ind w:left="2070" w:hanging="720"/>
      </w:pPr>
      <w:rPr>
        <w:rFonts w:hint="default"/>
        <w:b w:val="0"/>
        <w:i w:val="0"/>
        <w:color w:val="000000"/>
        <w:sz w:val="20"/>
        <w:szCs w:val="20"/>
      </w:rPr>
    </w:lvl>
    <w:lvl w:ilvl="3">
      <w:start w:val="1"/>
      <w:numFmt w:val="decimal"/>
      <w:lvlText w:val="%1.%2.%3.%4"/>
      <w:lvlJc w:val="left"/>
      <w:pPr>
        <w:tabs>
          <w:tab w:val="num" w:pos="3240"/>
        </w:tabs>
        <w:ind w:left="2880" w:hanging="720"/>
      </w:pPr>
      <w:rPr>
        <w:rFonts w:hint="default"/>
        <w:b w:val="0"/>
        <w:i w:val="0"/>
        <w:color w:val="00000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 w15:restartNumberingAfterBreak="0">
    <w:nsid w:val="3F7060F6"/>
    <w:multiLevelType w:val="hybridMultilevel"/>
    <w:tmpl w:val="39D610C2"/>
    <w:lvl w:ilvl="0" w:tplc="4D504820">
      <w:start w:val="1"/>
      <w:numFmt w:val="upperLetter"/>
      <w:lvlText w:val="%1."/>
      <w:lvlJc w:val="left"/>
      <w:pPr>
        <w:ind w:left="100" w:hanging="266"/>
      </w:pPr>
      <w:rPr>
        <w:rFonts w:ascii="Arial" w:eastAsia="Calibri" w:hAnsi="Arial" w:cs="Arial" w:hint="default"/>
        <w:b/>
        <w:bCs/>
        <w:w w:val="100"/>
        <w:sz w:val="22"/>
        <w:szCs w:val="22"/>
      </w:rPr>
    </w:lvl>
    <w:lvl w:ilvl="1" w:tplc="EBCED574">
      <w:numFmt w:val="bullet"/>
      <w:lvlText w:val="•"/>
      <w:lvlJc w:val="left"/>
      <w:pPr>
        <w:ind w:left="1050" w:hanging="266"/>
      </w:pPr>
      <w:rPr>
        <w:rFonts w:hint="default"/>
      </w:rPr>
    </w:lvl>
    <w:lvl w:ilvl="2" w:tplc="6132100A">
      <w:numFmt w:val="bullet"/>
      <w:lvlText w:val="•"/>
      <w:lvlJc w:val="left"/>
      <w:pPr>
        <w:ind w:left="2000" w:hanging="266"/>
      </w:pPr>
      <w:rPr>
        <w:rFonts w:hint="default"/>
      </w:rPr>
    </w:lvl>
    <w:lvl w:ilvl="3" w:tplc="9ECEEC56">
      <w:numFmt w:val="bullet"/>
      <w:lvlText w:val="•"/>
      <w:lvlJc w:val="left"/>
      <w:pPr>
        <w:ind w:left="2950" w:hanging="266"/>
      </w:pPr>
      <w:rPr>
        <w:rFonts w:hint="default"/>
      </w:rPr>
    </w:lvl>
    <w:lvl w:ilvl="4" w:tplc="4F8ADD92">
      <w:numFmt w:val="bullet"/>
      <w:lvlText w:val="•"/>
      <w:lvlJc w:val="left"/>
      <w:pPr>
        <w:ind w:left="3900" w:hanging="266"/>
      </w:pPr>
      <w:rPr>
        <w:rFonts w:hint="default"/>
      </w:rPr>
    </w:lvl>
    <w:lvl w:ilvl="5" w:tplc="E57AFA68">
      <w:numFmt w:val="bullet"/>
      <w:lvlText w:val="•"/>
      <w:lvlJc w:val="left"/>
      <w:pPr>
        <w:ind w:left="4850" w:hanging="266"/>
      </w:pPr>
      <w:rPr>
        <w:rFonts w:hint="default"/>
      </w:rPr>
    </w:lvl>
    <w:lvl w:ilvl="6" w:tplc="1026FFFC">
      <w:numFmt w:val="bullet"/>
      <w:lvlText w:val="•"/>
      <w:lvlJc w:val="left"/>
      <w:pPr>
        <w:ind w:left="5800" w:hanging="266"/>
      </w:pPr>
      <w:rPr>
        <w:rFonts w:hint="default"/>
      </w:rPr>
    </w:lvl>
    <w:lvl w:ilvl="7" w:tplc="EFD0B7C8">
      <w:numFmt w:val="bullet"/>
      <w:lvlText w:val="•"/>
      <w:lvlJc w:val="left"/>
      <w:pPr>
        <w:ind w:left="6750" w:hanging="266"/>
      </w:pPr>
      <w:rPr>
        <w:rFonts w:hint="default"/>
      </w:rPr>
    </w:lvl>
    <w:lvl w:ilvl="8" w:tplc="FBBC225C">
      <w:numFmt w:val="bullet"/>
      <w:lvlText w:val="•"/>
      <w:lvlJc w:val="left"/>
      <w:pPr>
        <w:ind w:left="7700" w:hanging="266"/>
      </w:pPr>
      <w:rPr>
        <w:rFonts w:hint="default"/>
      </w:rPr>
    </w:lvl>
  </w:abstractNum>
  <w:abstractNum w:abstractNumId="5" w15:restartNumberingAfterBreak="0">
    <w:nsid w:val="41814448"/>
    <w:multiLevelType w:val="hybridMultilevel"/>
    <w:tmpl w:val="94F4F330"/>
    <w:lvl w:ilvl="0" w:tplc="26C4A918">
      <w:start w:val="4"/>
      <w:numFmt w:val="decimal"/>
      <w:lvlText w:val="%1.0"/>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83E11"/>
    <w:multiLevelType w:val="multilevel"/>
    <w:tmpl w:val="913C221A"/>
    <w:lvl w:ilvl="0">
      <w:start w:val="3"/>
      <w:numFmt w:val="decimal"/>
      <w:lvlText w:val="%1.0"/>
      <w:lvlJc w:val="left"/>
      <w:pPr>
        <w:tabs>
          <w:tab w:val="num" w:pos="720"/>
        </w:tabs>
        <w:ind w:left="720" w:hanging="720"/>
      </w:pPr>
      <w:rPr>
        <w:rFonts w:hint="default"/>
        <w:b/>
        <w:color w:val="auto"/>
      </w:rPr>
    </w:lvl>
    <w:lvl w:ilvl="1">
      <w:start w:val="1"/>
      <w:numFmt w:val="decimal"/>
      <w:lvlText w:val="2.%2"/>
      <w:lvlJc w:val="left"/>
      <w:pPr>
        <w:tabs>
          <w:tab w:val="num" w:pos="1440"/>
        </w:tabs>
        <w:ind w:left="1440" w:hanging="720"/>
      </w:pPr>
      <w:rPr>
        <w:rFonts w:ascii="Tahoma" w:hAnsi="Tahoma" w:cs="Tahoma" w:hint="default"/>
        <w:b w:val="0"/>
        <w:i w:val="0"/>
        <w:color w:val="000000"/>
        <w:sz w:val="20"/>
        <w:szCs w:val="20"/>
      </w:rPr>
    </w:lvl>
    <w:lvl w:ilvl="2">
      <w:start w:val="1"/>
      <w:numFmt w:val="decimal"/>
      <w:lvlText w:val="1.%2.%3"/>
      <w:lvlJc w:val="left"/>
      <w:pPr>
        <w:tabs>
          <w:tab w:val="num" w:pos="2070"/>
        </w:tabs>
        <w:ind w:left="2070" w:hanging="720"/>
      </w:pPr>
      <w:rPr>
        <w:rFonts w:hint="default"/>
        <w:b w:val="0"/>
        <w:i w:val="0"/>
        <w:color w:val="000000"/>
        <w:sz w:val="20"/>
        <w:szCs w:val="20"/>
      </w:rPr>
    </w:lvl>
    <w:lvl w:ilvl="3">
      <w:start w:val="1"/>
      <w:numFmt w:val="decimal"/>
      <w:lvlText w:val="%1.%2.%3.%4"/>
      <w:lvlJc w:val="left"/>
      <w:pPr>
        <w:tabs>
          <w:tab w:val="num" w:pos="3240"/>
        </w:tabs>
        <w:ind w:left="2880" w:hanging="720"/>
      </w:pPr>
      <w:rPr>
        <w:rFonts w:hint="default"/>
        <w:b w:val="0"/>
        <w:i w:val="0"/>
        <w:color w:val="00000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15:restartNumberingAfterBreak="0">
    <w:nsid w:val="6566498C"/>
    <w:multiLevelType w:val="hybridMultilevel"/>
    <w:tmpl w:val="000ABB48"/>
    <w:lvl w:ilvl="0" w:tplc="3BC67BFC">
      <w:start w:val="1"/>
      <w:numFmt w:val="upperRoman"/>
      <w:lvlText w:val="%1."/>
      <w:lvlJc w:val="left"/>
      <w:pPr>
        <w:ind w:left="100" w:hanging="175"/>
      </w:pPr>
      <w:rPr>
        <w:rFonts w:ascii="Arial" w:eastAsia="Calibri" w:hAnsi="Arial" w:cs="Arial" w:hint="default"/>
        <w:b/>
        <w:bCs/>
        <w:w w:val="100"/>
        <w:sz w:val="22"/>
        <w:szCs w:val="22"/>
      </w:rPr>
    </w:lvl>
    <w:lvl w:ilvl="1" w:tplc="A314CF42">
      <w:numFmt w:val="bullet"/>
      <w:lvlText w:val="•"/>
      <w:lvlJc w:val="left"/>
      <w:pPr>
        <w:ind w:left="1050" w:hanging="175"/>
      </w:pPr>
      <w:rPr>
        <w:rFonts w:hint="default"/>
      </w:rPr>
    </w:lvl>
    <w:lvl w:ilvl="2" w:tplc="A3EC185C">
      <w:numFmt w:val="bullet"/>
      <w:lvlText w:val="•"/>
      <w:lvlJc w:val="left"/>
      <w:pPr>
        <w:ind w:left="2000" w:hanging="175"/>
      </w:pPr>
      <w:rPr>
        <w:rFonts w:hint="default"/>
      </w:rPr>
    </w:lvl>
    <w:lvl w:ilvl="3" w:tplc="D0D410C2">
      <w:numFmt w:val="bullet"/>
      <w:lvlText w:val="•"/>
      <w:lvlJc w:val="left"/>
      <w:pPr>
        <w:ind w:left="2950" w:hanging="175"/>
      </w:pPr>
      <w:rPr>
        <w:rFonts w:hint="default"/>
      </w:rPr>
    </w:lvl>
    <w:lvl w:ilvl="4" w:tplc="3D9CDEC0">
      <w:numFmt w:val="bullet"/>
      <w:lvlText w:val="•"/>
      <w:lvlJc w:val="left"/>
      <w:pPr>
        <w:ind w:left="3900" w:hanging="175"/>
      </w:pPr>
      <w:rPr>
        <w:rFonts w:hint="default"/>
      </w:rPr>
    </w:lvl>
    <w:lvl w:ilvl="5" w:tplc="2DB62D12">
      <w:numFmt w:val="bullet"/>
      <w:lvlText w:val="•"/>
      <w:lvlJc w:val="left"/>
      <w:pPr>
        <w:ind w:left="4850" w:hanging="175"/>
      </w:pPr>
      <w:rPr>
        <w:rFonts w:hint="default"/>
      </w:rPr>
    </w:lvl>
    <w:lvl w:ilvl="6" w:tplc="7AAC75E8">
      <w:numFmt w:val="bullet"/>
      <w:lvlText w:val="•"/>
      <w:lvlJc w:val="left"/>
      <w:pPr>
        <w:ind w:left="5800" w:hanging="175"/>
      </w:pPr>
      <w:rPr>
        <w:rFonts w:hint="default"/>
      </w:rPr>
    </w:lvl>
    <w:lvl w:ilvl="7" w:tplc="A872C00A">
      <w:numFmt w:val="bullet"/>
      <w:lvlText w:val="•"/>
      <w:lvlJc w:val="left"/>
      <w:pPr>
        <w:ind w:left="6750" w:hanging="175"/>
      </w:pPr>
      <w:rPr>
        <w:rFonts w:hint="default"/>
      </w:rPr>
    </w:lvl>
    <w:lvl w:ilvl="8" w:tplc="C2DE6DB4">
      <w:numFmt w:val="bullet"/>
      <w:lvlText w:val="•"/>
      <w:lvlJc w:val="left"/>
      <w:pPr>
        <w:ind w:left="7700" w:hanging="175"/>
      </w:pPr>
      <w:rPr>
        <w:rFonts w:hint="default"/>
      </w:rPr>
    </w:lvl>
  </w:abstractNum>
  <w:abstractNum w:abstractNumId="8" w15:restartNumberingAfterBreak="0">
    <w:nsid w:val="72864CD4"/>
    <w:multiLevelType w:val="multilevel"/>
    <w:tmpl w:val="D6DE8422"/>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tabs>
          <w:tab w:val="num" w:pos="1440"/>
        </w:tabs>
        <w:ind w:left="1440" w:hanging="720"/>
      </w:pPr>
      <w:rPr>
        <w:rFonts w:ascii="Tahoma" w:hAnsi="Tahoma" w:cs="Tahoma" w:hint="default"/>
        <w:b w:val="0"/>
        <w:i w:val="0"/>
        <w:color w:val="000000"/>
        <w:sz w:val="20"/>
        <w:szCs w:val="20"/>
      </w:rPr>
    </w:lvl>
    <w:lvl w:ilvl="2">
      <w:start w:val="1"/>
      <w:numFmt w:val="decimal"/>
      <w:lvlText w:val="%1.%2.%3"/>
      <w:lvlJc w:val="left"/>
      <w:pPr>
        <w:tabs>
          <w:tab w:val="num" w:pos="2070"/>
        </w:tabs>
        <w:ind w:left="2070" w:hanging="720"/>
      </w:pPr>
      <w:rPr>
        <w:rFonts w:hint="default"/>
        <w:b w:val="0"/>
        <w:i w:val="0"/>
        <w:color w:val="000000"/>
        <w:sz w:val="20"/>
        <w:szCs w:val="20"/>
      </w:rPr>
    </w:lvl>
    <w:lvl w:ilvl="3">
      <w:start w:val="1"/>
      <w:numFmt w:val="decimal"/>
      <w:lvlText w:val="%1.%2.%3.%4"/>
      <w:lvlJc w:val="left"/>
      <w:pPr>
        <w:tabs>
          <w:tab w:val="num" w:pos="3240"/>
        </w:tabs>
        <w:ind w:left="2880" w:hanging="720"/>
      </w:pPr>
      <w:rPr>
        <w:rFonts w:hint="default"/>
        <w:b w:val="0"/>
        <w:i w:val="0"/>
        <w:color w:val="00000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4"/>
  </w:num>
  <w:num w:numId="2">
    <w:abstractNumId w:val="0"/>
  </w:num>
  <w:num w:numId="3">
    <w:abstractNumId w:val="7"/>
  </w:num>
  <w:num w:numId="4">
    <w:abstractNumId w:val="1"/>
  </w:num>
  <w:num w:numId="5">
    <w:abstractNumId w:val="8"/>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01"/>
    <w:rsid w:val="00070E99"/>
    <w:rsid w:val="000819BC"/>
    <w:rsid w:val="000E425A"/>
    <w:rsid w:val="00113DCD"/>
    <w:rsid w:val="00132EE8"/>
    <w:rsid w:val="001473F5"/>
    <w:rsid w:val="001E42B0"/>
    <w:rsid w:val="001F1F1B"/>
    <w:rsid w:val="0033579B"/>
    <w:rsid w:val="00416E9A"/>
    <w:rsid w:val="004C5BE3"/>
    <w:rsid w:val="0060208F"/>
    <w:rsid w:val="006108C3"/>
    <w:rsid w:val="00623910"/>
    <w:rsid w:val="007B0A13"/>
    <w:rsid w:val="007C2A6C"/>
    <w:rsid w:val="007D6F04"/>
    <w:rsid w:val="0084162C"/>
    <w:rsid w:val="008B7143"/>
    <w:rsid w:val="008E7B9F"/>
    <w:rsid w:val="00935ECC"/>
    <w:rsid w:val="00A7660C"/>
    <w:rsid w:val="00A9061B"/>
    <w:rsid w:val="00B50DB6"/>
    <w:rsid w:val="00BD04EF"/>
    <w:rsid w:val="00BD1F01"/>
    <w:rsid w:val="00BD7D6B"/>
    <w:rsid w:val="00C46407"/>
    <w:rsid w:val="00C5666F"/>
    <w:rsid w:val="00CB41D9"/>
    <w:rsid w:val="00D0556F"/>
    <w:rsid w:val="00D62CC6"/>
    <w:rsid w:val="00E15098"/>
    <w:rsid w:val="00E67872"/>
    <w:rsid w:val="00E855E8"/>
    <w:rsid w:val="00F7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6E027E"/>
  <w15:chartTrackingRefBased/>
  <w15:docId w15:val="{A842CB27-F01C-4826-8A5F-FC9663F5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EE8"/>
  </w:style>
  <w:style w:type="paragraph" w:styleId="Footer">
    <w:name w:val="footer"/>
    <w:basedOn w:val="Normal"/>
    <w:link w:val="FooterChar"/>
    <w:uiPriority w:val="99"/>
    <w:unhideWhenUsed/>
    <w:rsid w:val="0013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EE8"/>
  </w:style>
  <w:style w:type="paragraph" w:styleId="NoSpacing">
    <w:name w:val="No Spacing"/>
    <w:uiPriority w:val="1"/>
    <w:qFormat/>
    <w:rsid w:val="00BD04EF"/>
    <w:pPr>
      <w:spacing w:after="0" w:line="240" w:lineRule="auto"/>
    </w:pPr>
  </w:style>
  <w:style w:type="paragraph" w:styleId="BodyText">
    <w:name w:val="Body Text"/>
    <w:basedOn w:val="Normal"/>
    <w:link w:val="BodyTextChar"/>
    <w:uiPriority w:val="1"/>
    <w:qFormat/>
    <w:rsid w:val="00E67872"/>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E67872"/>
    <w:rPr>
      <w:rFonts w:ascii="Calibri" w:eastAsia="Calibri" w:hAnsi="Calibri" w:cs="Calibri"/>
      <w:sz w:val="24"/>
      <w:szCs w:val="24"/>
    </w:rPr>
  </w:style>
  <w:style w:type="paragraph" w:styleId="ListParagraph">
    <w:name w:val="List Paragraph"/>
    <w:basedOn w:val="Normal"/>
    <w:uiPriority w:val="1"/>
    <w:qFormat/>
    <w:rsid w:val="00E67872"/>
    <w:pPr>
      <w:widowControl w:val="0"/>
      <w:autoSpaceDE w:val="0"/>
      <w:autoSpaceDN w:val="0"/>
      <w:spacing w:after="0" w:line="240" w:lineRule="auto"/>
      <w:ind w:left="100" w:right="134"/>
      <w:jc w:val="both"/>
    </w:pPr>
    <w:rPr>
      <w:rFonts w:ascii="Calibri" w:eastAsia="Calibri" w:hAnsi="Calibri" w:cs="Calibri"/>
    </w:rPr>
  </w:style>
  <w:style w:type="table" w:styleId="TableGrid">
    <w:name w:val="Table Grid"/>
    <w:basedOn w:val="TableNormal"/>
    <w:uiPriority w:val="59"/>
    <w:rsid w:val="008E7B9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Tanmoy Chatterjee</cp:lastModifiedBy>
  <cp:revision>2</cp:revision>
  <dcterms:created xsi:type="dcterms:W3CDTF">2021-07-27T23:12:00Z</dcterms:created>
  <dcterms:modified xsi:type="dcterms:W3CDTF">2021-07-27T23:12:00Z</dcterms:modified>
</cp:coreProperties>
</file>