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q7ldvutx5lr" w:id="0"/>
      <w:bookmarkEnd w:id="0"/>
      <w:r w:rsidDel="00000000" w:rsidR="00000000" w:rsidRPr="00000000">
        <w:rPr>
          <w:b w:val="1"/>
          <w:bCs w:val="1"/>
          <w:sz w:val="34"/>
          <w:szCs w:val="34"/>
          <w:rtl w:val="0"/>
        </w:rPr>
        <w:t xml:space="preserve">Supplementary Material S4</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kj0kh14wb62" w:id="1"/>
      <w:bookmarkEnd w:id="1"/>
      <w:r w:rsidDel="00000000" w:rsidR="00000000" w:rsidRPr="00000000">
        <w:rPr>
          <w:b w:val="1"/>
          <w:bCs w:val="1"/>
          <w:sz w:val="34"/>
          <w:szCs w:val="34"/>
          <w:rtl w:val="0"/>
        </w:rPr>
        <w:t xml:space="preserve">Detailed analytical workflow, model settings, and reproducibility information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q4wpj4de6ce" w:id="2"/>
      <w:bookmarkEnd w:id="2"/>
      <w:r w:rsidDel="00000000" w:rsidR="00000000" w:rsidRPr="00000000">
        <w:rPr>
          <w:b w:val="1"/>
          <w:bCs w:val="1"/>
          <w:color w:val="000000"/>
          <w:sz w:val="26"/>
          <w:szCs w:val="26"/>
          <w:rtl w:val="0"/>
        </w:rPr>
        <w:t xml:space="preserve">S4.1. Purpose of this supplementary material</w:t>
      </w:r>
    </w:p>
    <w:p w:rsidR="00000000" w:rsidDel="00000000" w:rsidP="00000000" w:rsidRDefault="00000000" w:rsidRPr="00000000" w14:paraId="00000004">
      <w:pPr>
        <w:spacing w:after="240" w:before="240" w:lineRule="auto"/>
        <w:rPr/>
      </w:pPr>
      <w:r w:rsidDel="00000000" w:rsidR="00000000" w:rsidRPr="00000000">
        <w:rPr>
          <w:rtl w:val="0"/>
        </w:rPr>
        <w:t xml:space="preserve">This supplementary material provides additional methodological detail for the analytical workflow used in the manuscript. The main Methods section was streamlined to improve readability, while reproducibility-relevant information is provided here. This includes data harmonisation, taxonomic screening, trait-matrix preparation, functional diversity calculations, ordination settings, machine-learning model configuration, ANFIS architecture, and reproducibility workflow. The methodological framework follows the same sources cited in the main manuscript, including Bray and Curtis (1957), Gower (1971), Villéger et al. (2008), Laliberté and Legendre (2010), Legendre and Legendre (2012), Breiman (2001), Cutler et al. (2007), Chen and Guestrin (2016), Jang (1993), and Nayak et al. (2004).</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7xrbjafns8yn" w:id="3"/>
      <w:bookmarkEnd w:id="3"/>
      <w:r w:rsidDel="00000000" w:rsidR="00000000" w:rsidRPr="00000000">
        <w:rPr>
          <w:b w:val="1"/>
          <w:bCs w:val="1"/>
          <w:color w:val="000000"/>
          <w:sz w:val="26"/>
          <w:szCs w:val="26"/>
          <w:rtl w:val="0"/>
        </w:rPr>
        <w:t xml:space="preserve">S4.2. Data harmonisation and taxonomic screening</w:t>
      </w:r>
    </w:p>
    <w:p w:rsidR="00000000" w:rsidDel="00000000" w:rsidP="00000000" w:rsidRDefault="00000000" w:rsidRPr="00000000" w14:paraId="00000006">
      <w:pPr>
        <w:spacing w:after="240" w:before="240" w:lineRule="auto"/>
        <w:rPr/>
      </w:pPr>
      <w:r w:rsidDel="00000000" w:rsidR="00000000" w:rsidRPr="00000000">
        <w:rPr>
          <w:rtl w:val="0"/>
        </w:rPr>
        <w:t xml:space="preserve">The phytoplankton community dataset, environmental dataset, and species-level trait matrix were harmonised at station level. The phytoplankton dataset was based on the station-level coastal monitoring data described by Baytut et al. (2026). Taxonomic names were checked against AlgaeBase and the World Register of Marine Species to update outdated nomenclature and resolve synonyms, following Guiry and Guiry (2026) and WoRMS Editorial Board (2026). Records identified only as broad groups, such as unidentified nanoflagellates or aggregated diatom categories, were excluded from trait-based analyses because they could not be reliably linked to species-level functional traits.</w:t>
      </w:r>
    </w:p>
    <w:p w:rsidR="00000000" w:rsidDel="00000000" w:rsidP="00000000" w:rsidRDefault="00000000" w:rsidRPr="00000000" w14:paraId="00000007">
      <w:pPr>
        <w:spacing w:after="240" w:before="240" w:lineRule="auto"/>
        <w:rPr/>
      </w:pPr>
      <w:r w:rsidDel="00000000" w:rsidR="00000000" w:rsidRPr="00000000">
        <w:rPr>
          <w:rtl w:val="0"/>
        </w:rPr>
        <w:t xml:space="preserve">Community data were transformed before dissimilarity-based analyses to reduce the influence of extreme biomass or abundance values. Taxa occurring in fewer than 2% of samples were removed prior to ordination to reduce the influence of rare taxa on community dissimilarity patterns. Environmental variables were screened for completeness, and only variables with sufficient station-level coverage were retained for ordination and modelling.</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jsmiikbf3n25" w:id="4"/>
      <w:bookmarkEnd w:id="4"/>
      <w:r w:rsidDel="00000000" w:rsidR="00000000" w:rsidRPr="00000000">
        <w:rPr>
          <w:b w:val="1"/>
          <w:bCs w:val="1"/>
          <w:color w:val="000000"/>
          <w:sz w:val="26"/>
          <w:szCs w:val="26"/>
          <w:rtl w:val="0"/>
        </w:rPr>
        <w:t xml:space="preserve">S4.3. Trait matrix preparation</w:t>
      </w:r>
    </w:p>
    <w:p w:rsidR="00000000" w:rsidDel="00000000" w:rsidP="00000000" w:rsidRDefault="00000000" w:rsidRPr="00000000" w14:paraId="00000009">
      <w:pPr>
        <w:spacing w:after="240" w:before="240" w:lineRule="auto"/>
        <w:rPr/>
      </w:pPr>
      <w:r w:rsidDel="00000000" w:rsidR="00000000" w:rsidRPr="00000000">
        <w:rPr>
          <w:rtl w:val="0"/>
        </w:rPr>
        <w:t xml:space="preserve">The functional trait matrix included morphological, physiological, and ecological traits relevant to phytoplankton functional strategies. These included cell biovolume, surface-area-to-volume ratio, morphology, motility, coloniality, silica requirement, nitrogen-fixing capacity, mixotrophic potential, and ecological affinity descriptors where available. Continuous traits were transformed and standardised where appropriate, categorical variables were converted into binary dummy variables, and ordinal descriptors were retained as ranked variables.</w:t>
      </w:r>
    </w:p>
    <w:p w:rsidR="00000000" w:rsidDel="00000000" w:rsidP="00000000" w:rsidRDefault="00000000" w:rsidRPr="00000000" w14:paraId="0000000A">
      <w:pPr>
        <w:spacing w:after="240" w:before="240" w:lineRule="auto"/>
        <w:rPr/>
      </w:pPr>
      <w:r w:rsidDel="00000000" w:rsidR="00000000" w:rsidRPr="00000000">
        <w:rPr>
          <w:rtl w:val="0"/>
        </w:rPr>
        <w:t xml:space="preserve">Trait selection followed the ecological rationale of trait-based phytoplankton community ecology, where functional attributes are used to link community composition with resource acquisition, growth strategy, and environmental response patterns. This interpretation is consistent with the trait-based framework already cited in the manuscript, particularly Litchman and Klausmeier (2008), Litchman et al. (2015), and Weithoff and Beisner (2019).</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qrry6v359a0i" w:id="5"/>
      <w:bookmarkEnd w:id="5"/>
      <w:r w:rsidDel="00000000" w:rsidR="00000000" w:rsidRPr="00000000">
        <w:rPr>
          <w:b w:val="1"/>
          <w:bCs w:val="1"/>
          <w:color w:val="000000"/>
          <w:sz w:val="26"/>
          <w:szCs w:val="26"/>
          <w:rtl w:val="0"/>
        </w:rPr>
        <w:t xml:space="preserve">S4.4. Functional and taxonomic diversity calculations</w:t>
      </w:r>
    </w:p>
    <w:p w:rsidR="00000000" w:rsidDel="00000000" w:rsidP="00000000" w:rsidRDefault="00000000" w:rsidRPr="00000000" w14:paraId="0000000C">
      <w:pPr>
        <w:spacing w:after="240" w:before="240" w:lineRule="auto"/>
        <w:rPr/>
      </w:pPr>
      <w:r w:rsidDel="00000000" w:rsidR="00000000" w:rsidRPr="00000000">
        <w:rPr>
          <w:rtl w:val="0"/>
        </w:rPr>
        <w:t xml:space="preserve">Functional richness, functional evenness, and functional divergence were calculated to describe complementary aspects of functional diversity. These indices follow the multidimensional functional diversity framework of Villéger et al. (2008). Gower distance was used to construct the functional trait space because the trait matrix included mixed variable types, following Gower (1971). Functional diversity calculations were performed using the FD framework described by Laliberté and Legendre (2010).</w:t>
      </w:r>
    </w:p>
    <w:p w:rsidR="00000000" w:rsidDel="00000000" w:rsidP="00000000" w:rsidRDefault="00000000" w:rsidRPr="00000000" w14:paraId="0000000D">
      <w:pPr>
        <w:spacing w:after="240" w:before="240" w:lineRule="auto"/>
        <w:rPr/>
      </w:pPr>
      <w:r w:rsidDel="00000000" w:rsidR="00000000" w:rsidRPr="00000000">
        <w:rPr>
          <w:rtl w:val="0"/>
        </w:rPr>
        <w:t xml:space="preserve">Taxonomic biodiversity descriptors included Shannon diversity, Menhinick’s richness, and Pielou’s evenness. These descriptors were calculated at station level and then merged with the functional diversity indices, environmental variables, and ordination-derived predictors for statistical testing and predictive modelling.</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a6s40lcsxnf" w:id="6"/>
      <w:bookmarkEnd w:id="6"/>
      <w:r w:rsidDel="00000000" w:rsidR="00000000" w:rsidRPr="00000000">
        <w:rPr>
          <w:b w:val="1"/>
          <w:bCs w:val="1"/>
          <w:color w:val="000000"/>
          <w:sz w:val="26"/>
          <w:szCs w:val="26"/>
          <w:rtl w:val="0"/>
        </w:rPr>
        <w:t xml:space="preserve">S4.5. Environmental and community ordination</w:t>
      </w:r>
    </w:p>
    <w:p w:rsidR="00000000" w:rsidDel="00000000" w:rsidP="00000000" w:rsidRDefault="00000000" w:rsidRPr="00000000" w14:paraId="0000000F">
      <w:pPr>
        <w:spacing w:after="240" w:before="240" w:lineRule="auto"/>
        <w:rPr/>
      </w:pPr>
      <w:r w:rsidDel="00000000" w:rsidR="00000000" w:rsidRPr="00000000">
        <w:rPr>
          <w:rtl w:val="0"/>
        </w:rPr>
        <w:t xml:space="preserve">Environmental gradients were summarised using principal component analysis based on the standardised environmental matrix. This analysis was used to represent dominant physicochemical gradients among stations and regions. The ordination approach followed the multivariate ecological framework described by Legendre and Legendre (2012).</w:t>
      </w:r>
    </w:p>
    <w:p w:rsidR="00000000" w:rsidDel="00000000" w:rsidP="00000000" w:rsidRDefault="00000000" w:rsidRPr="00000000" w14:paraId="00000010">
      <w:pPr>
        <w:spacing w:after="240" w:before="240" w:lineRule="auto"/>
        <w:rPr/>
      </w:pPr>
      <w:r w:rsidDel="00000000" w:rsidR="00000000" w:rsidRPr="00000000">
        <w:rPr>
          <w:rtl w:val="0"/>
        </w:rPr>
        <w:t xml:space="preserve">Phytoplankton community structure was analysed using Bray–Curtis dissimilarity, following Bray and Curtis (1957). Principal coordinates analysis was then applied to represent dominant compositional gradients among stations. The first community-derived PCoA axes were used as summary descriptors of phytoplankton assemblage structure in subsequent analyses.</w:t>
      </w:r>
    </w:p>
    <w:p w:rsidR="00000000" w:rsidDel="00000000" w:rsidP="00000000" w:rsidRDefault="00000000" w:rsidRPr="00000000" w14:paraId="00000011">
      <w:pPr>
        <w:spacing w:after="240" w:before="240" w:lineRule="auto"/>
        <w:rPr/>
      </w:pPr>
      <w:r w:rsidDel="00000000" w:rsidR="00000000" w:rsidRPr="00000000">
        <w:rPr>
          <w:rtl w:val="0"/>
        </w:rPr>
        <w:t xml:space="preserve">Because both the community-derived PCoA predictors and functional diversity metrics originate from the phytoplankton assemblage data, model outputs were interpreted as evidence of compositional–functional coupling rather than as fully independent predictions. This point was explicitly considered when interpreting model performance and generalisability.</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7nm3lnbvu3o" w:id="7"/>
      <w:bookmarkEnd w:id="7"/>
      <w:r w:rsidDel="00000000" w:rsidR="00000000" w:rsidRPr="00000000">
        <w:rPr>
          <w:b w:val="1"/>
          <w:bCs w:val="1"/>
          <w:color w:val="000000"/>
          <w:sz w:val="26"/>
          <w:szCs w:val="26"/>
          <w:rtl w:val="0"/>
        </w:rPr>
        <w:t xml:space="preserve">S4.6. Statistical testing</w:t>
      </w:r>
    </w:p>
    <w:p w:rsidR="00000000" w:rsidDel="00000000" w:rsidP="00000000" w:rsidRDefault="00000000" w:rsidRPr="00000000" w14:paraId="00000013">
      <w:pPr>
        <w:spacing w:after="240" w:before="240" w:lineRule="auto"/>
        <w:rPr/>
      </w:pPr>
      <w:r w:rsidDel="00000000" w:rsidR="00000000" w:rsidRPr="00000000">
        <w:rPr>
          <w:rtl w:val="0"/>
        </w:rPr>
        <w:t xml:space="preserve">Regional differences in functional and taxonomic diversity metrics were tested using parametric or non-parametric procedures depending on distributional assumptions. One-way ANOVA was used when normality and homogeneity assumptions were satisfied, whereas Kruskal–Wallis tests were used when assumptions were violated. Post-hoc comparisons were applied where appropriate.</w:t>
      </w:r>
    </w:p>
    <w:p w:rsidR="00000000" w:rsidDel="00000000" w:rsidP="00000000" w:rsidRDefault="00000000" w:rsidRPr="00000000" w14:paraId="00000014">
      <w:pPr>
        <w:spacing w:after="240" w:before="240" w:lineRule="auto"/>
        <w:rPr/>
      </w:pPr>
      <w:r w:rsidDel="00000000" w:rsidR="00000000" w:rsidRPr="00000000">
        <w:rPr>
          <w:rtl w:val="0"/>
        </w:rPr>
        <w:t xml:space="preserve">Spearman rank correlations were used to evaluate relationships between diversity metrics and environmental variables. Mantel tests with 9,999 permutations were used to assess concordance among environmental distance, community dissimilarity, and functional distance matrices. In the revised manuscript, all interpretations were checked against the direction of the reported coefficients to avoid inconsistencies between the text and statistical tables, as requested by the reviewer.</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34nktwp1c63v" w:id="8"/>
      <w:bookmarkEnd w:id="8"/>
      <w:r w:rsidDel="00000000" w:rsidR="00000000" w:rsidRPr="00000000">
        <w:rPr>
          <w:b w:val="1"/>
          <w:bCs w:val="1"/>
          <w:color w:val="000000"/>
          <w:sz w:val="26"/>
          <w:szCs w:val="26"/>
          <w:rtl w:val="0"/>
        </w:rPr>
        <w:t xml:space="preserve">S4.7. Machine-learning model configuration</w:t>
      </w:r>
    </w:p>
    <w:p w:rsidR="00000000" w:rsidDel="00000000" w:rsidP="00000000" w:rsidRDefault="00000000" w:rsidRPr="00000000" w14:paraId="00000016">
      <w:pPr>
        <w:spacing w:after="240" w:before="240" w:lineRule="auto"/>
        <w:rPr/>
      </w:pPr>
      <w:r w:rsidDel="00000000" w:rsidR="00000000" w:rsidRPr="00000000">
        <w:rPr>
          <w:rtl w:val="0"/>
        </w:rPr>
        <w:t xml:space="preserve">Four supervised regression algorithms were used to predict functional and taxonomic diversity descriptors: support vector regression, random forest, gradient boosting, and XGBoost. Random forest modelling follows the general framework of Breiman (2001), while its ecological applications are supported by Cutler et al. (2007) and Olden et al. (2008). Boosted regression approaches were interpreted in relation to Elith et al. (2008), and XGBoost follows Chen and Guestrin (2016).</w:t>
      </w:r>
    </w:p>
    <w:p w:rsidR="00000000" w:rsidDel="00000000" w:rsidP="00000000" w:rsidRDefault="00000000" w:rsidRPr="00000000" w14:paraId="00000017">
      <w:pPr>
        <w:spacing w:after="240" w:before="240" w:lineRule="auto"/>
        <w:rPr/>
      </w:pPr>
      <w:r w:rsidDel="00000000" w:rsidR="00000000" w:rsidRPr="00000000">
        <w:rPr>
          <w:rtl w:val="0"/>
        </w:rPr>
        <w:t xml:space="preserve">Models were trained separately for each response variable. Predictors included community-derived PCoA axes and environmental PCA axes. Model performance was evaluated using R², RMSE, and MAE. The data were split into training and test subsets using a regionally stratified 80:20 approach, and cross-validation was used during model tuning to reduce overfitting.</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fxws5yjezt3" w:id="9"/>
      <w:bookmarkEnd w:id="9"/>
      <w:r w:rsidDel="00000000" w:rsidR="00000000" w:rsidRPr="00000000">
        <w:rPr>
          <w:b w:val="1"/>
          <w:bCs w:val="1"/>
          <w:color w:val="000000"/>
          <w:sz w:val="26"/>
          <w:szCs w:val="26"/>
          <w:rtl w:val="0"/>
        </w:rPr>
        <w:t xml:space="preserve">S4.8. ANFIS configuration</w:t>
      </w:r>
    </w:p>
    <w:p w:rsidR="00000000" w:rsidDel="00000000" w:rsidP="00000000" w:rsidRDefault="00000000" w:rsidRPr="00000000" w14:paraId="00000019">
      <w:pPr>
        <w:spacing w:after="240" w:before="240" w:lineRule="auto"/>
        <w:rPr/>
      </w:pPr>
      <w:r w:rsidDel="00000000" w:rsidR="00000000" w:rsidRPr="00000000">
        <w:rPr>
          <w:rtl w:val="0"/>
        </w:rPr>
        <w:t xml:space="preserve">Adaptive neuro-fuzzy inference system models were implemented as interpretable alternatives to machine-learning models. The ANFIS approach follows the architecture introduced by Jang (1993), with additional methodological support from Nayak et al. (2004) and Muttil and Chau (2006). A Sugeno-type fuzzy inference structure was used. Gaussian membership functions were applied because they provide smooth response surfaces suitable for ecological gradients.</w:t>
      </w:r>
    </w:p>
    <w:p w:rsidR="00000000" w:rsidDel="00000000" w:rsidP="00000000" w:rsidRDefault="00000000" w:rsidRPr="00000000" w14:paraId="0000001A">
      <w:pPr>
        <w:spacing w:after="240" w:before="240" w:lineRule="auto"/>
        <w:rPr/>
      </w:pPr>
      <w:r w:rsidDel="00000000" w:rsidR="00000000" w:rsidRPr="00000000">
        <w:rPr>
          <w:rtl w:val="0"/>
        </w:rPr>
        <w:t xml:space="preserve">ANFIS models were evaluated using the same performance metrics as the machine-learning models. Their role in this study was not only prediction, but also the extraction of interpretable fuzzy rules describing how community-composition gradients relate to functional and taxonomic diversity descriptors.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7fpeflbamvuq" w:id="10"/>
      <w:bookmarkEnd w:id="10"/>
      <w:r w:rsidDel="00000000" w:rsidR="00000000" w:rsidRPr="00000000">
        <w:rPr>
          <w:b w:val="1"/>
          <w:bCs w:val="1"/>
          <w:color w:val="000000"/>
          <w:sz w:val="26"/>
          <w:szCs w:val="26"/>
          <w:rtl w:val="0"/>
        </w:rPr>
        <w:t xml:space="preserve">S4.9. Reproducibility and code availability</w:t>
      </w:r>
    </w:p>
    <w:p w:rsidR="00000000" w:rsidDel="00000000" w:rsidP="00000000" w:rsidRDefault="00000000" w:rsidRPr="00000000" w14:paraId="0000001C">
      <w:pPr>
        <w:spacing w:after="240" w:before="240" w:lineRule="auto"/>
        <w:rPr/>
      </w:pPr>
      <w:r w:rsidDel="00000000" w:rsidR="00000000" w:rsidRPr="00000000">
        <w:rPr>
          <w:rtl w:val="0"/>
        </w:rPr>
        <w:t xml:space="preserve">The reproducible workflow includes processed input matrices, statistical scripts, model-training scripts, output tables, and figure-generation files. The GitHub repository link should be provided in the main manuscript under the “Reproducibility and software” subsection. Where raw monitoring data cannot be deposited because of data-use restrictions, processed and anonymised station-level matrices should be provided.</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y0dpfj8ts0f3" w:id="11"/>
      <w:bookmarkEnd w:id="11"/>
      <w:r w:rsidDel="00000000" w:rsidR="00000000" w:rsidRPr="00000000">
        <w:rPr>
          <w:b w:val="1"/>
          <w:bCs w:val="1"/>
          <w:color w:val="000000"/>
          <w:sz w:val="26"/>
          <w:szCs w:val="26"/>
          <w:rtl w:val="0"/>
        </w:rPr>
        <w:t xml:space="preserve">S4.10. Workflow summary</w:t>
      </w:r>
    </w:p>
    <w:p w:rsidR="00000000" w:rsidDel="00000000" w:rsidP="00000000" w:rsidRDefault="00000000" w:rsidRPr="00000000" w14:paraId="0000001E">
      <w:pPr>
        <w:spacing w:after="240" w:before="240" w:lineRule="auto"/>
        <w:rPr/>
      </w:pPr>
      <w:r w:rsidDel="00000000" w:rsidR="00000000" w:rsidRPr="00000000">
        <w:rPr>
          <w:rtl w:val="0"/>
        </w:rPr>
        <w:t xml:space="preserve">The analytical workflow followed this sequence: phytoplankton community data were taxonomically harmonised, transformed, and converted into a community matrix; species-level traits were harmonised into a functional trait matrix; Gower distance was used to construct functional trait space; functional diversity and taxonomic biodiversity descriptors were calculated at station level; environmental variables were transformed and standardised; PCA and PCoA were used to summarise environmental and community gradients; statistical tests were applied to evaluate regional and environmental relationships; and machine-learning and ANFIS models were trained to evaluate predictive relationships among environmental gradients, community composition, and diversity descriptors.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bayt4uw3spm" w:id="12"/>
      <w:bookmarkEnd w:id="12"/>
      <w:r w:rsidDel="00000000" w:rsidR="00000000" w:rsidRPr="00000000">
        <w:rPr>
          <w:b w:val="1"/>
          <w:bCs w:val="1"/>
          <w:sz w:val="34"/>
          <w:szCs w:val="34"/>
          <w:rtl w:val="0"/>
        </w:rPr>
        <w:t xml:space="preserve">Response letter’a daha doğru cevap</w:t>
      </w:r>
    </w:p>
    <w:p w:rsidR="00000000" w:rsidDel="00000000" w:rsidP="00000000" w:rsidRDefault="00000000" w:rsidRPr="00000000" w14:paraId="00000021">
      <w:pPr>
        <w:spacing w:after="240" w:before="240" w:lineRule="auto"/>
        <w:rPr/>
      </w:pPr>
      <w:r w:rsidDel="00000000" w:rsidR="00000000" w:rsidRPr="00000000">
        <w:rPr>
          <w:rtl w:val="0"/>
        </w:rPr>
        <w:t xml:space="preserve">Bunu kullan:</w:t>
      </w:r>
    </w:p>
    <w:p w:rsidR="00000000" w:rsidDel="00000000" w:rsidP="00000000" w:rsidRDefault="00000000" w:rsidRPr="00000000" w14:paraId="00000022">
      <w:pPr>
        <w:rPr/>
      </w:pPr>
      <w:r w:rsidDel="00000000" w:rsidR="00000000" w:rsidRPr="00000000">
        <w:rPr>
          <w:rtl w:val="0"/>
        </w:rPr>
        <w:t xml:space="preserve">We thank the reviewer for this helpful suggestion. In the revised manuscript, the Methods section has been shortened and reorganised to focus on study-specific methodological choices. Detailed descriptions of data harmonisation, trait-matrix preparation, ordination settings, machine-learning configuration, ANFIS architecture, and reproducibility workflow have been moved to a new file entitled “Supplementary Material S4. Detailed analytical workflow, model settings, and reproducibility information.” No additional methodological references were introduced in this supplementary file beyond those already cited in the manuscript.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t xml:space="preserve">Yani evet: </w:t>
      </w:r>
      <w:r w:rsidDel="00000000" w:rsidR="00000000" w:rsidRPr="00000000">
        <w:rPr>
          <w:b w:val="1"/>
          <w:bCs w:val="1"/>
          <w:rtl w:val="0"/>
        </w:rPr>
        <w:t xml:space="preserve">yeni kaynak uydurmuyoruz, sadece mevcut referans listesindeki kaynaklarla Supplementary Material S4’ü kuruyoruz.</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