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1400"/>
        <w:jc w:val="center"/>
      </w:pPr>
      <w:r>
        <w:rPr>
          <w:b/>
          <w:bCs/>
          <w:color w:val="8C5BAA"/>
          <w:sz w:val="40"/>
          <w:szCs w:val="40"/>
        </w:rPr>
        <w:t xml:space="preserve">DV</w:t>
      </w:r>
    </w:p>
    <w:p>
      <w:pPr>
        <w:spacing w:after="40"/>
        <w:jc w:val="center"/>
      </w:pPr>
      <w:r>
        <w:rPr>
          <w:b/>
          <w:bCs/>
          <w:color w:val="2F6F62"/>
          <w:sz w:val="60"/>
          <w:szCs w:val="60"/>
        </w:rPr>
        <w:t xml:space="preserve">Design Visual</w:t>
      </w:r>
    </w:p>
    <w:p>
      <w:pPr>
        <w:spacing w:after="60"/>
        <w:jc w:val="center"/>
      </w:pPr>
      <w:r>
        <w:rPr>
          <w:color w:val="7A8691"/>
          <w:sz w:val="24"/>
          <w:szCs w:val="24"/>
        </w:rPr>
        <w:t xml:space="preserve">Documento de Mecânica — Gênese</w:t>
      </w:r>
    </w:p>
    <w:p>
      <w:pPr>
        <w:spacing w:after="400"/>
        <w:jc w:val="center"/>
      </w:pPr>
      <w:r>
        <w:rPr>
          <w:i/>
          <w:iCs/>
          <w:color w:val="7A8691"/>
          <w:sz w:val="22"/>
          <w:szCs w:val="22"/>
        </w:rPr>
        <w:t xml:space="preserve">Direção de arte e identidade — com espaços para suas imagens e referências</w:t>
      </w:r>
    </w:p>
    <w:p>
      <w:pPr>
        <w:spacing w:after="120" w:line="276"/>
      </w:pPr>
      <w:r>
        <w:rPr>
          <w:b/>
          <w:bCs/>
          <w:color w:val="2F6F62"/>
          <w:sz w:val="24"/>
          <w:szCs w:val="24"/>
        </w:rPr>
        <w:t xml:space="preserve">Metadados e dependências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8D2CE" w:sz="1"/>
              <w:left w:val="single" w:color="C8D2CE" w:sz="1"/>
              <w:bottom w:val="single" w:color="C8D2CE" w:sz="1"/>
              <w:right w:val="single" w:color="C8D2CE" w:sz="1"/>
            </w:tcBorders>
            <w:shd w:fill="8C5BAA" w:val="clear"/>
            <w:tcMar>
              <w:top w:type="dxa" w:w="80"/>
              <w:left w:type="dxa" w:w="120"/>
              <w:bottom w:type="dxa" w:w="80"/>
              <w:right w:type="dxa" w:w="120"/>
            </w:tcMar>
          </w:tcPr>
          <w:p>
            <w:r>
              <w:rPr>
                <w:b/>
                <w:bCs/>
                <w:color w:val="FFFFFF"/>
                <w:sz w:val="20"/>
                <w:szCs w:val="20"/>
              </w:rPr>
              <w:t xml:space="preserve">Campo</w:t>
            </w:r>
          </w:p>
        </w:tc>
        <w:tc>
          <w:tcPr>
            <w:tcW w:type="dxa" w:w="6960"/>
            <w:tcBorders>
              <w:top w:val="single" w:color="C8D2CE" w:sz="1"/>
              <w:left w:val="single" w:color="C8D2CE" w:sz="1"/>
              <w:bottom w:val="single" w:color="C8D2CE" w:sz="1"/>
              <w:right w:val="single" w:color="C8D2CE" w:sz="1"/>
            </w:tcBorders>
            <w:shd w:fill="8C5BAA" w:val="clear"/>
            <w:tcMar>
              <w:top w:type="dxa" w:w="80"/>
              <w:left w:type="dxa" w:w="120"/>
              <w:bottom w:type="dxa" w:w="80"/>
              <w:right w:type="dxa" w:w="120"/>
            </w:tcMar>
          </w:tcPr>
          <w:p>
            <w:r>
              <w:rPr>
                <w:b/>
                <w:bCs/>
                <w:color w:val="FFFFFF"/>
                <w:sz w:val="20"/>
                <w:szCs w:val="20"/>
              </w:rPr>
              <w:t xml:space="preserve">Valor</w:t>
            </w:r>
          </w:p>
        </w:tc>
      </w:tr>
      <w:tr>
        <w:tc>
          <w:tcPr>
            <w:tcW w:type="dxa" w:w="240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Identificador</w:t>
            </w:r>
          </w:p>
        </w:tc>
        <w:tc>
          <w:tcPr>
            <w:tcW w:type="dxa" w:w="696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DV</w:t>
            </w:r>
          </w:p>
        </w:tc>
      </w:tr>
      <w:tr>
        <w:tc>
          <w:tcPr>
            <w:tcW w:type="dxa" w:w="240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Versão</w:t>
            </w:r>
          </w:p>
        </w:tc>
        <w:tc>
          <w:tcPr>
            <w:tcW w:type="dxa" w:w="696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0.1</w:t>
            </w:r>
          </w:p>
        </w:tc>
      </w:tr>
      <w:tr>
        <w:tc>
          <w:tcPr>
            <w:tcW w:type="dxa" w:w="240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Depende de</w:t>
            </w:r>
          </w:p>
        </w:tc>
        <w:tc>
          <w:tcPr>
            <w:tcW w:type="dxa" w:w="696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GDD §8; GDD §9; M08; M13</w:t>
            </w:r>
          </w:p>
        </w:tc>
      </w:tr>
      <w:tr>
        <w:tc>
          <w:tcPr>
            <w:tcW w:type="dxa" w:w="240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Alimenta / é usada por</w:t>
            </w:r>
          </w:p>
        </w:tc>
        <w:tc>
          <w:tcPr>
            <w:tcW w:type="dxa" w:w="696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E10 — Render, UX e Loja</w:t>
            </w:r>
          </w:p>
        </w:tc>
      </w:tr>
      <w:tr>
        <w:tc>
          <w:tcPr>
            <w:tcW w:type="dxa" w:w="240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Referência no GDD</w:t>
            </w:r>
          </w:p>
        </w:tc>
        <w:tc>
          <w:tcPr>
            <w:tcW w:type="dxa" w:w="696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§8; §9.5</w:t>
            </w:r>
          </w:p>
        </w:tc>
      </w:tr>
    </w:tbl>
    <w:p>
      <w:pPr>
        <w:spacing w:before="160"/>
      </w:pPr>
      <w:r>
        <w:rPr>
          <w:b/>
          <w:bCs/>
          <w:color w:val="8C5BAA"/>
        </w:rPr>
        <w:t xml:space="preserve">Princípio de causalidade (vale para todo o documento): </w:t>
      </w:r>
      <w:r>
        <w:rPr>
          <w:i/>
          <w:iCs/>
        </w:rPr>
        <w:t xml:space="preserve">nenhum número aleatório é consultado sem que sua distribuição derive do estado do mundo. Não há 'evento aleatório', só 'resultado incerto de causas conhecidas' (GDD §1.5). Toda subseção 'Causalidade' abaixo declara de onde vêm as probabilidades.</w:t>
      </w:r>
    </w:p>
    <w:p>
      <w:r>
        <w:br w:type="page"/>
      </w:r>
    </w:p>
    <w:p>
      <w:pPr>
        <w:pStyle w:val="Heading1"/>
      </w:pPr>
      <w:r>
        <w:t xml:space="preserve">Índice</w:t>
      </w:r>
    </w:p>
    <w:sdt>
      <w:sdtPr>
        <w:alias w:val="Sumário"/>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Como usar este documento</w:t>
      </w:r>
    </w:p>
    <w:p>
      <w:pPr>
        <w:spacing w:after="120" w:line="276"/>
      </w:pPr>
      <w:r>
        <w:t xml:space="preserve">Este é o documento de Design Visual (DV) de Gênese. Ele descreve em palavras toda a direção de arte e identidade visual do jogo, e foi estruturado para que você o complemente com imagens, moodboards e referências. Sempre que houver um quadro tracejado marcado '[ ESPAÇO PARA IMAGEM / REFERÊNCIA ]', cole ali a referência correspondente (concept art, screenshot de inspiração, paleta, etc.).</w:t>
      </w:r>
    </w:p>
    <w:p>
      <w:pPr>
        <w:spacing w:after="120" w:line="276"/>
      </w:pPr>
      <w:r>
        <w:rPr>
          <w:b/>
          <w:bCs/>
        </w:rPr>
        <w:t xml:space="preserve">Relação com os outros documentos: </w:t>
      </w:r>
      <w:r>
        <w:t xml:space="preserve">o GDD §8 estabelece a visão visual; este DV a detalha; a etapa E10 a implementa em 3D na Unity. Onde houver conflito, o DV é a fonte de verdade visual.</w:t>
      </w:r>
    </w:p>
    <w:p>
      <w:pPr>
        <w:pStyle w:val="Heading1"/>
      </w:pPr>
      <w:r>
        <w:t xml:space="preserve">2. Identidade e pilares visuais</w:t>
      </w:r>
    </w:p>
    <w:p>
      <w:pPr>
        <w:spacing w:after="120" w:line="276"/>
      </w:pPr>
      <w:r>
        <w:t xml:space="preserve">O estilo é 3D estilizado em diorama, com criaturas animadas — não realista, mas escultural e tátil, como uma maquete viva. A arte não busca realismo: ela existe para tornar legíveis e belos os sistemas invisíveis da simulação. As referências de identidade ao longo deste documento são ilustrações de estilo-alvo (a 'sensação' a alcançar); a execução final é em 3D, preservando essa leitura. O jogador deve 'ler' o estado de uma civilização batendo o olho, antes de abrir qualquer painel.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8D2CE" w:sz="1"/>
              <w:left w:val="single" w:color="C8D2CE" w:sz="1"/>
              <w:bottom w:val="single" w:color="C8D2CE" w:sz="1"/>
              <w:right w:val="single" w:color="C8D2CE" w:sz="1"/>
            </w:tcBorders>
            <w:shd w:fill="2F6F62" w:val="clear"/>
            <w:tcMar>
              <w:top w:type="dxa" w:w="80"/>
              <w:left w:type="dxa" w:w="120"/>
              <w:bottom w:type="dxa" w:w="80"/>
              <w:right w:type="dxa" w:w="120"/>
            </w:tcMar>
          </w:tcPr>
          <w:p>
            <w:r>
              <w:rPr>
                <w:b/>
                <w:bCs/>
                <w:color w:val="FFFFFF"/>
                <w:sz w:val="20"/>
                <w:szCs w:val="20"/>
              </w:rPr>
              <w:t xml:space="preserve">Pilar visual</w:t>
            </w:r>
          </w:p>
        </w:tc>
        <w:tc>
          <w:tcPr>
            <w:tcW w:type="dxa" w:w="6760"/>
            <w:tcBorders>
              <w:top w:val="single" w:color="C8D2CE" w:sz="1"/>
              <w:left w:val="single" w:color="C8D2CE" w:sz="1"/>
              <w:bottom w:val="single" w:color="C8D2CE" w:sz="1"/>
              <w:right w:val="single" w:color="C8D2CE" w:sz="1"/>
            </w:tcBorders>
            <w:shd w:fill="2F6F62" w:val="clear"/>
            <w:tcMar>
              <w:top w:type="dxa" w:w="80"/>
              <w:left w:type="dxa" w:w="120"/>
              <w:bottom w:type="dxa" w:w="80"/>
              <w:right w:type="dxa" w:w="120"/>
            </w:tcMar>
          </w:tcPr>
          <w:p>
            <w:r>
              <w:rPr>
                <w:b/>
                <w:bCs/>
                <w:color w:val="FFFFFF"/>
                <w:sz w:val="20"/>
                <w:szCs w:val="20"/>
              </w:rPr>
              <w:t xml:space="preserve">O que significa</w:t>
            </w:r>
          </w:p>
        </w:tc>
      </w:tr>
      <w:tr>
        <w:tc>
          <w:tcPr>
            <w:tcW w:type="dxa" w:w="260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Legibilidade primeiro</w:t>
            </w:r>
          </w:p>
        </w:tc>
        <w:tc>
          <w:tcPr>
            <w:tcW w:type="dxa" w:w="676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Silhuetas limpas e leitura instantânea acima de detalhe. Se a forma não comunica, ela é simplificada.</w:t>
            </w:r>
          </w:p>
        </w:tc>
      </w:tr>
      <w:tr>
        <w:tc>
          <w:tcPr>
            <w:tcW w:type="dxa" w:w="260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Cor como informação</w:t>
            </w:r>
          </w:p>
        </w:tc>
        <w:tc>
          <w:tcPr>
            <w:tcW w:type="dxa" w:w="676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A paleta comunica estado: quentes para tensão/agressividade, frias para calma/declínio, saturação para vitalidade.</w:t>
            </w:r>
          </w:p>
        </w:tc>
      </w:tr>
      <w:tr>
        <w:tc>
          <w:tcPr>
            <w:tcW w:type="dxa" w:w="260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Diorama vivo</w:t>
            </w:r>
          </w:p>
        </w:tc>
        <w:tc>
          <w:tcPr>
            <w:tcW w:type="dxa" w:w="676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Estética de ilustração e diorama em 3D, vista em perspectiva isométrica suave (câmera elevada, orbitável e com zoom); um mundo-maquete tridimensional que respira, com profundidade, volumes e iluminação coerente.</w:t>
            </w:r>
          </w:p>
        </w:tc>
      </w:tr>
      <w:tr>
        <w:tc>
          <w:tcPr>
            <w:tcW w:type="dxa" w:w="260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Beleza melancólica</w:t>
            </w:r>
          </w:p>
        </w:tc>
        <w:tc>
          <w:tcPr>
            <w:tcW w:type="dxa" w:w="676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Tom contemplativo (GDD §1.3): há ternura e tragédia; nada caricato, nada épico-heroico.</w:t>
            </w:r>
          </w:p>
        </w:tc>
      </w:tr>
      <w:tr>
        <w:tc>
          <w:tcPr>
            <w:tcW w:type="dxa" w:w="260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Evolução visível</w:t>
            </w:r>
          </w:p>
        </w:tc>
        <w:tc>
          <w:tcPr>
            <w:tcW w:type="dxa" w:w="676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O que muda na simulação muda na tela: criaturas e ambiente se transformam ao longo da partida.</w:t>
            </w:r>
          </w:p>
        </w:tc>
      </w:tr>
    </w:tbl>
    <w:p>
      <w:pPr>
        <w:pBdr>
          <w:top w:val="dashed" w:color="8C5BAA" w:sz="8" w:space="14"/>
          <w:bottom w:val="dashed" w:color="8C5BAA" w:sz="8" w:space="14"/>
        </w:pBdr>
        <w:shd w:fill="F1EBF6" w:val="clear"/>
        <w:spacing w:after="200" w:before="200"/>
        <w:jc w:val="center"/>
      </w:pPr>
      <w:r>
        <w:rPr>
          <w:b/>
          <w:bCs/>
          <w:color w:val="8C5BAA"/>
          <w:sz w:val="22"/>
          <w:szCs w:val="22"/>
        </w:rPr>
        <w:t xml:space="preserve">REFERÊNCIA VISUAL — estilo-alvo (execução final em 3D)</w:t>
      </w:r>
      <w:r>
        <w:br/>
        <w:drawing>
          <wp:inline distT="0" distB="0" distL="0" distR="0">
            <wp:extent cx="5486400" cy="3657600"/>
            <wp:effectExtent l="0" t="0" r="0" b="0"/>
            <wp:docPr id="101" name="ref_mood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ref_moodboard"/>
                    <pic:cNvPicPr/>
                  </pic:nvPicPr>
                  <pic:blipFill>
                    <a:blip r:embed="rId10"/>
                    <a:stretch>
                      <a:fillRect/>
                    </a:stretch>
                  </pic:blipFill>
                  <pic:spPr>
                    <a:xfrm>
                      <a:off x="0" y="0"/>
                      <a:ext cx="5486400" cy="3657600"/>
                    </a:xfrm>
                    <a:prstGeom prst="rect">
                      <a:avLst/>
                    </a:prstGeom>
                  </pic:spPr>
                </pic:pic>
              </a:graphicData>
            </a:graphic>
          </wp:inline>
        </w:drawing>
      </w:r>
      <w:r>
        <w:rPr>
          <w:i/>
          <w:iCs/>
          <w:color w:val="6B5B7B"/>
          <w:sz w:val="18"/>
          <w:szCs w:val="18"/>
        </w:rPr>
        <w:br/>
        <w:t xml:space="preserve">Moodboard geral da identidade visual (3–6 referências que capturem o tom).</w:t>
      </w:r>
    </w:p>
    <w:p>
      <w:pPr>
        <w:pStyle w:val="Heading1"/>
      </w:pPr>
      <w:r>
        <w:t xml:space="preserve">3. Paleta de cores</w:t>
      </w:r>
    </w:p>
    <w:p>
      <w:pPr>
        <w:spacing w:after="120" w:line="276"/>
      </w:pPr>
      <w:r>
        <w:t xml:space="preserve">A paleta tem dois níveis: a paleta-base (identidade do jogo) e as paletas semânticas (cor com significado de dados, usadas em criaturas, ambiente e overlays).</w:t>
      </w:r>
    </w:p>
    <w:p>
      <w:pPr>
        <w:pStyle w:val="Heading2"/>
      </w:pPr>
      <w:r>
        <w:t xml:space="preserve">3.1. Paleta-base (sugestão inicial — ajustar com a direção de arte)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160"/>
        <w:gridCol w:w="3800"/>
      </w:tblGrid>
      <w:tr>
        <w:trPr>
          <w:tblHeader/>
        </w:trPr>
        <w:tc>
          <w:tcPr>
            <w:tcW w:type="dxa" w:w="2400"/>
            <w:tcBorders>
              <w:top w:val="single" w:color="C8D2CE" w:sz="1"/>
              <w:left w:val="single" w:color="C8D2CE" w:sz="1"/>
              <w:bottom w:val="single" w:color="C8D2CE" w:sz="1"/>
              <w:right w:val="single" w:color="C8D2CE" w:sz="1"/>
            </w:tcBorders>
            <w:shd w:fill="2F6F62" w:val="clear"/>
            <w:tcMar>
              <w:top w:type="dxa" w:w="80"/>
              <w:left w:type="dxa" w:w="120"/>
              <w:bottom w:type="dxa" w:w="80"/>
              <w:right w:type="dxa" w:w="120"/>
            </w:tcMar>
          </w:tcPr>
          <w:p>
            <w:r>
              <w:rPr>
                <w:b/>
                <w:bCs/>
                <w:color w:val="FFFFFF"/>
                <w:sz w:val="20"/>
                <w:szCs w:val="20"/>
              </w:rPr>
              <w:t xml:space="preserve">Uso</w:t>
            </w:r>
          </w:p>
        </w:tc>
        <w:tc>
          <w:tcPr>
            <w:tcW w:type="dxa" w:w="3160"/>
            <w:tcBorders>
              <w:top w:val="single" w:color="C8D2CE" w:sz="1"/>
              <w:left w:val="single" w:color="C8D2CE" w:sz="1"/>
              <w:bottom w:val="single" w:color="C8D2CE" w:sz="1"/>
              <w:right w:val="single" w:color="C8D2CE" w:sz="1"/>
            </w:tcBorders>
            <w:shd w:fill="2F6F62" w:val="clear"/>
            <w:tcMar>
              <w:top w:type="dxa" w:w="80"/>
              <w:left w:type="dxa" w:w="120"/>
              <w:bottom w:type="dxa" w:w="80"/>
              <w:right w:type="dxa" w:w="120"/>
            </w:tcMar>
          </w:tcPr>
          <w:p>
            <w:r>
              <w:rPr>
                <w:b/>
                <w:bCs/>
                <w:color w:val="FFFFFF"/>
                <w:sz w:val="20"/>
                <w:szCs w:val="20"/>
              </w:rPr>
              <w:t xml:space="preserve">Cor sugerida (hex)</w:t>
            </w:r>
          </w:p>
        </w:tc>
        <w:tc>
          <w:tcPr>
            <w:tcW w:type="dxa" w:w="3800"/>
            <w:tcBorders>
              <w:top w:val="single" w:color="C8D2CE" w:sz="1"/>
              <w:left w:val="single" w:color="C8D2CE" w:sz="1"/>
              <w:bottom w:val="single" w:color="C8D2CE" w:sz="1"/>
              <w:right w:val="single" w:color="C8D2CE" w:sz="1"/>
            </w:tcBorders>
            <w:shd w:fill="2F6F62" w:val="clear"/>
            <w:tcMar>
              <w:top w:type="dxa" w:w="80"/>
              <w:left w:type="dxa" w:w="120"/>
              <w:bottom w:type="dxa" w:w="80"/>
              <w:right w:type="dxa" w:w="120"/>
            </w:tcMar>
          </w:tcPr>
          <w:p>
            <w:r>
              <w:rPr>
                <w:b/>
                <w:bCs/>
                <w:color w:val="FFFFFF"/>
                <w:sz w:val="20"/>
                <w:szCs w:val="20"/>
              </w:rPr>
              <w:t xml:space="preserve">Sensação</w:t>
            </w:r>
          </w:p>
        </w:tc>
      </w:tr>
      <w:tr>
        <w:tc>
          <w:tcPr>
            <w:tcW w:type="dxa" w:w="240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Fundo / vazio</w:t>
            </w:r>
          </w:p>
        </w:tc>
        <w:tc>
          <w:tcPr>
            <w:tcW w:type="dxa" w:w="316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#1F2933 (grafite)</w:t>
            </w:r>
          </w:p>
        </w:tc>
        <w:tc>
          <w:tcPr>
            <w:tcW w:type="dxa" w:w="380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Calma, espaço para o mundo respirar</w:t>
            </w:r>
          </w:p>
        </w:tc>
      </w:tr>
      <w:tr>
        <w:tc>
          <w:tcPr>
            <w:tcW w:type="dxa" w:w="240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Vegetação / vida</w:t>
            </w:r>
          </w:p>
        </w:tc>
        <w:tc>
          <w:tcPr>
            <w:tcW w:type="dxa" w:w="316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#2F6F62 (verde-azulado)</w:t>
            </w:r>
          </w:p>
        </w:tc>
        <w:tc>
          <w:tcPr>
            <w:tcW w:type="dxa" w:w="380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Vitalidade, biológico</w:t>
            </w:r>
          </w:p>
        </w:tc>
      </w:tr>
      <w:tr>
        <w:tc>
          <w:tcPr>
            <w:tcW w:type="dxa" w:w="240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Influência do jogador</w:t>
            </w:r>
          </w:p>
        </w:tc>
        <w:tc>
          <w:tcPr>
            <w:tcW w:type="dxa" w:w="316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#8C5BAA (roxo)</w:t>
            </w:r>
          </w:p>
        </w:tc>
        <w:tc>
          <w:tcPr>
            <w:tcW w:type="dxa" w:w="380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Presença sobrenatural, a 'mão invisível'</w:t>
            </w:r>
          </w:p>
        </w:tc>
      </w:tr>
      <w:tr>
        <w:tc>
          <w:tcPr>
            <w:tcW w:type="dxa" w:w="240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Tensão / alerta</w:t>
            </w:r>
          </w:p>
        </w:tc>
        <w:tc>
          <w:tcPr>
            <w:tcW w:type="dxa" w:w="316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#C0563A (terracota quente)</w:t>
            </w:r>
          </w:p>
        </w:tc>
        <w:tc>
          <w:tcPr>
            <w:tcW w:type="dxa" w:w="380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Conflito, perigo</w:t>
            </w:r>
          </w:p>
        </w:tc>
      </w:tr>
      <w:tr>
        <w:tc>
          <w:tcPr>
            <w:tcW w:type="dxa" w:w="240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Neutro claro / UI</w:t>
            </w:r>
          </w:p>
        </w:tc>
        <w:tc>
          <w:tcPr>
            <w:tcW w:type="dxa" w:w="316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#EAF2EF</w:t>
            </w:r>
          </w:p>
        </w:tc>
        <w:tc>
          <w:tcPr>
            <w:tcW w:type="dxa" w:w="380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Painéis e texto</w:t>
            </w:r>
          </w:p>
        </w:tc>
      </w:tr>
    </w:tbl>
    <w:p>
      <w:pPr>
        <w:pBdr>
          <w:top w:val="dashed" w:color="8C5BAA" w:sz="8" w:space="14"/>
          <w:bottom w:val="dashed" w:color="8C5BAA" w:sz="8" w:space="14"/>
        </w:pBdr>
        <w:shd w:fill="F1EBF6" w:val="clear"/>
        <w:spacing w:after="200" w:before="200"/>
        <w:jc w:val="center"/>
      </w:pPr>
      <w:r>
        <w:rPr>
          <w:b/>
          <w:bCs/>
          <w:color w:val="8C5BAA"/>
          <w:sz w:val="22"/>
          <w:szCs w:val="22"/>
        </w:rPr>
        <w:t xml:space="preserve">[ ESPAÇO PARA IMAGEM / REFERÊNCIA ]</w:t>
      </w:r>
      <w:r>
        <w:rPr>
          <w:i/>
          <w:iCs/>
          <w:color w:val="6B5B7B"/>
          <w:sz w:val="18"/>
          <w:szCs w:val="18"/>
        </w:rPr>
        <w:br/>
        <w:t xml:space="preserve">Sua paleta-base final (swatches) e variações claro/escuro.</w:t>
      </w:r>
    </w:p>
    <w:p>
      <w:pPr>
        <w:pStyle w:val="Heading2"/>
      </w:pPr>
      <w:r>
        <w:t xml:space="preserve">3.2. Paletas semânticas</w:t>
      </w:r>
    </w:p>
    <w:p>
      <w:pPr>
        <w:spacing w:after="120" w:line="276"/>
      </w:pPr>
      <w:r>
        <w:t xml:space="preserve">Cada estatística-chave tem uma rampa de cor consistente, usada igualmente nas criaturas (quando aplicável), no ambiente e nos overlays (M13), para o jogador aprender a 'ler' o mundo.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8D2CE" w:sz="1"/>
              <w:left w:val="single" w:color="C8D2CE" w:sz="1"/>
              <w:bottom w:val="single" w:color="C8D2CE" w:sz="1"/>
              <w:right w:val="single" w:color="C8D2CE" w:sz="1"/>
            </w:tcBorders>
            <w:shd w:fill="2F6F62" w:val="clear"/>
            <w:tcMar>
              <w:top w:type="dxa" w:w="80"/>
              <w:left w:type="dxa" w:w="120"/>
              <w:bottom w:type="dxa" w:w="80"/>
              <w:right w:type="dxa" w:w="120"/>
            </w:tcMar>
          </w:tcPr>
          <w:p>
            <w:r>
              <w:rPr>
                <w:b/>
                <w:bCs/>
                <w:color w:val="FFFFFF"/>
                <w:sz w:val="20"/>
                <w:szCs w:val="20"/>
              </w:rPr>
              <w:t xml:space="preserve">Significado</w:t>
            </w:r>
          </w:p>
        </w:tc>
        <w:tc>
          <w:tcPr>
            <w:tcW w:type="dxa" w:w="6360"/>
            <w:tcBorders>
              <w:top w:val="single" w:color="C8D2CE" w:sz="1"/>
              <w:left w:val="single" w:color="C8D2CE" w:sz="1"/>
              <w:bottom w:val="single" w:color="C8D2CE" w:sz="1"/>
              <w:right w:val="single" w:color="C8D2CE" w:sz="1"/>
            </w:tcBorders>
            <w:shd w:fill="2F6F62" w:val="clear"/>
            <w:tcMar>
              <w:top w:type="dxa" w:w="80"/>
              <w:left w:type="dxa" w:w="120"/>
              <w:bottom w:type="dxa" w:w="80"/>
              <w:right w:type="dxa" w:w="120"/>
            </w:tcMar>
          </w:tcPr>
          <w:p>
            <w:r>
              <w:rPr>
                <w:b/>
                <w:bCs/>
                <w:color w:val="FFFFFF"/>
                <w:sz w:val="20"/>
                <w:szCs w:val="20"/>
              </w:rPr>
              <w:t xml:space="preserve">Rampa (baixo → alto)</w:t>
            </w:r>
          </w:p>
        </w:tc>
      </w:tr>
      <w:tr>
        <w:tc>
          <w:tcPr>
            <w:tcW w:type="dxa" w:w="300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Agressividade</w:t>
            </w:r>
          </w:p>
        </w:tc>
        <w:tc>
          <w:tcPr>
            <w:tcW w:type="dxa" w:w="636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Cinza-azulado → vermelho intenso</w:t>
            </w:r>
          </w:p>
        </w:tc>
      </w:tr>
      <w:tr>
        <w:tc>
          <w:tcPr>
            <w:tcW w:type="dxa" w:w="300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Vitalidade / saúde</w:t>
            </w:r>
          </w:p>
        </w:tc>
        <w:tc>
          <w:tcPr>
            <w:tcW w:type="dxa" w:w="636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Cinza pálido → verde saturado</w:t>
            </w:r>
          </w:p>
        </w:tc>
      </w:tr>
      <w:tr>
        <w:tc>
          <w:tcPr>
            <w:tcW w:type="dxa" w:w="300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Recursos</w:t>
            </w:r>
          </w:p>
        </w:tc>
        <w:tc>
          <w:tcPr>
            <w:tcW w:type="dxa" w:w="636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Marrom seco → dourado abundante</w:t>
            </w:r>
          </w:p>
        </w:tc>
      </w:tr>
      <w:tr>
        <w:tc>
          <w:tcPr>
            <w:tcW w:type="dxa" w:w="300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Fé / religiosidade</w:t>
            </w:r>
          </w:p>
        </w:tc>
        <w:tc>
          <w:tcPr>
            <w:tcW w:type="dxa" w:w="636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Neutro → roxo luminoso</w:t>
            </w:r>
          </w:p>
        </w:tc>
      </w:tr>
      <w:tr>
        <w:tc>
          <w:tcPr>
            <w:tcW w:type="dxa" w:w="300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Divergência linguística</w:t>
            </w:r>
          </w:p>
        </w:tc>
        <w:tc>
          <w:tcPr>
            <w:tcW w:type="dxa" w:w="636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Tons que se afastam no matiz conforme divergem</w:t>
            </w:r>
          </w:p>
        </w:tc>
      </w:tr>
    </w:tbl>
    <w:p>
      <w:pPr>
        <w:pStyle w:val="Heading1"/>
      </w:pPr>
      <w:r>
        <w:t xml:space="preserve">4. As criaturas</w:t>
      </w:r>
    </w:p>
    <w:p>
      <w:pPr>
        <w:spacing w:after="120" w:line="276"/>
      </w:pPr>
      <w:r>
        <w:t xml:space="preserve">As criaturas são o coração visual. O sistema de arte é modular e paramétrico (implementado em E10): genética e cultura viram geometria, materiais e shaders de um modelo 3D. Isso permite que cada partida tenha criaturas únicas e que elas evoluam de aparência. A forma-base — vista nas referências como um corpo arredondado, tipo 'ovo' com rosto expressivo — vira uma malha 3D-mãe deformável por blend shapes (morph targets), com partes encaixáveis e materiais paramétricos.</w:t>
      </w:r>
    </w:p>
    <w:p>
      <w:pPr>
        <w:pStyle w:val="Heading2"/>
      </w:pPr>
      <w:r>
        <w:t xml:space="preserve">4.1. Anatomia base estilizada</w:t>
      </w:r>
    </w:p>
    <w:p>
      <w:pPr>
        <w:spacing w:after="120" w:line="276"/>
      </w:pPr>
      <w:r>
        <w:t xml:space="preserve">Defina uma 'forma-mãe' simples e expressiva (ex.: um corpo arredondado com poucos apêndices) a partir da qual todas as variações são geradas. A silhueta deve ser reconhecível mesmo pequena na tela.</w:t>
      </w:r>
    </w:p>
    <w:p>
      <w:pPr>
        <w:pBdr>
          <w:top w:val="dashed" w:color="8C5BAA" w:sz="8" w:space="14"/>
          <w:bottom w:val="dashed" w:color="8C5BAA" w:sz="8" w:space="14"/>
        </w:pBdr>
        <w:shd w:fill="F1EBF6" w:val="clear"/>
        <w:spacing w:after="200" w:before="200"/>
        <w:jc w:val="center"/>
      </w:pPr>
      <w:r>
        <w:rPr>
          <w:b/>
          <w:bCs/>
          <w:color w:val="8C5BAA"/>
          <w:sz w:val="22"/>
          <w:szCs w:val="22"/>
        </w:rPr>
        <w:t xml:space="preserve">REFERÊNCIA VISUAL — estilo-alvo (execução final em 3D)</w:t>
      </w:r>
      <w:r>
        <w:br/>
        <w:drawing>
          <wp:inline distT="0" distB="0" distL="0" distR="0">
            <wp:extent cx="5486400" cy="3657600"/>
            <wp:effectExtent l="0" t="0" r="0" b="0"/>
            <wp:docPr id="102" name="ref_criatur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ref_criaturas"/>
                    <pic:cNvPicPr/>
                  </pic:nvPicPr>
                  <pic:blipFill>
                    <a:blip r:embed="rId11"/>
                    <a:stretch>
                      <a:fillRect/>
                    </a:stretch>
                  </pic:blipFill>
                  <pic:spPr>
                    <a:xfrm>
                      <a:off x="0" y="0"/>
                      <a:ext cx="5486400" cy="3657600"/>
                    </a:xfrm>
                    <a:prstGeom prst="rect">
                      <a:avLst/>
                    </a:prstGeom>
                  </pic:spPr>
                </pic:pic>
              </a:graphicData>
            </a:graphic>
          </wp:inline>
        </w:drawing>
      </w:r>
      <w:r>
        <w:rPr>
          <w:i/>
          <w:iCs/>
          <w:color w:val="6B5B7B"/>
          <w:sz w:val="18"/>
          <w:szCs w:val="18"/>
        </w:rPr>
        <w:br/>
        <w:t xml:space="preserve">Concept da forma-mãe e 3–5 variações de silhueta.</w:t>
      </w:r>
    </w:p>
    <w:p>
      <w:pPr>
        <w:pStyle w:val="Heading2"/>
      </w:pPr>
      <w:r>
        <w:t xml:space="preserve">4.2. Parâmetros visuais controlados pela simulação (GDD §8.3)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760"/>
        <w:gridCol w:w="4000"/>
      </w:tblGrid>
      <w:tr>
        <w:trPr>
          <w:tblHeader/>
        </w:trPr>
        <w:tc>
          <w:tcPr>
            <w:tcW w:type="dxa" w:w="2600"/>
            <w:tcBorders>
              <w:top w:val="single" w:color="C8D2CE" w:sz="1"/>
              <w:left w:val="single" w:color="C8D2CE" w:sz="1"/>
              <w:bottom w:val="single" w:color="C8D2CE" w:sz="1"/>
              <w:right w:val="single" w:color="C8D2CE" w:sz="1"/>
            </w:tcBorders>
            <w:shd w:fill="2F6F62" w:val="clear"/>
            <w:tcMar>
              <w:top w:type="dxa" w:w="80"/>
              <w:left w:type="dxa" w:w="120"/>
              <w:bottom w:type="dxa" w:w="80"/>
              <w:right w:type="dxa" w:w="120"/>
            </w:tcMar>
          </w:tcPr>
          <w:p>
            <w:r>
              <w:rPr>
                <w:b/>
                <w:bCs/>
                <w:color w:val="FFFFFF"/>
                <w:sz w:val="20"/>
                <w:szCs w:val="20"/>
              </w:rPr>
              <w:t xml:space="preserve">Parâmetro visual</w:t>
            </w:r>
          </w:p>
        </w:tc>
        <w:tc>
          <w:tcPr>
            <w:tcW w:type="dxa" w:w="2760"/>
            <w:tcBorders>
              <w:top w:val="single" w:color="C8D2CE" w:sz="1"/>
              <w:left w:val="single" w:color="C8D2CE" w:sz="1"/>
              <w:bottom w:val="single" w:color="C8D2CE" w:sz="1"/>
              <w:right w:val="single" w:color="C8D2CE" w:sz="1"/>
            </w:tcBorders>
            <w:shd w:fill="2F6F62" w:val="clear"/>
            <w:tcMar>
              <w:top w:type="dxa" w:w="80"/>
              <w:left w:type="dxa" w:w="120"/>
              <w:bottom w:type="dxa" w:w="80"/>
              <w:right w:type="dxa" w:w="120"/>
            </w:tcMar>
          </w:tcPr>
          <w:p>
            <w:r>
              <w:rPr>
                <w:b/>
                <w:bCs/>
                <w:color w:val="FFFFFF"/>
                <w:sz w:val="20"/>
                <w:szCs w:val="20"/>
              </w:rPr>
              <w:t xml:space="preserve">Controlado por</w:t>
            </w:r>
          </w:p>
        </w:tc>
        <w:tc>
          <w:tcPr>
            <w:tcW w:type="dxa" w:w="4000"/>
            <w:tcBorders>
              <w:top w:val="single" w:color="C8D2CE" w:sz="1"/>
              <w:left w:val="single" w:color="C8D2CE" w:sz="1"/>
              <w:bottom w:val="single" w:color="C8D2CE" w:sz="1"/>
              <w:right w:val="single" w:color="C8D2CE" w:sz="1"/>
            </w:tcBorders>
            <w:shd w:fill="2F6F62" w:val="clear"/>
            <w:tcMar>
              <w:top w:type="dxa" w:w="80"/>
              <w:left w:type="dxa" w:w="120"/>
              <w:bottom w:type="dxa" w:w="80"/>
              <w:right w:type="dxa" w:w="120"/>
            </w:tcMar>
          </w:tcPr>
          <w:p>
            <w:r>
              <w:rPr>
                <w:b/>
                <w:bCs/>
                <w:color w:val="FFFFFF"/>
                <w:sz w:val="20"/>
                <w:szCs w:val="20"/>
              </w:rPr>
              <w:t xml:space="preserve">Comunica ao jogador</w:t>
            </w:r>
          </w:p>
        </w:tc>
      </w:tr>
      <w:tr>
        <w:tc>
          <w:tcPr>
            <w:tcW w:type="dxa" w:w="260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Cor base do corpo</w:t>
            </w:r>
          </w:p>
        </w:tc>
        <w:tc>
          <w:tcPr>
            <w:tcW w:type="dxa" w:w="276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Genética + ambiente</w:t>
            </w:r>
          </w:p>
        </w:tc>
        <w:tc>
          <w:tcPr>
            <w:tcW w:type="dxa" w:w="400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População, adaptação climática, espécie</w:t>
            </w:r>
          </w:p>
        </w:tc>
      </w:tr>
      <w:tr>
        <w:tc>
          <w:tcPr>
            <w:tcW w:type="dxa" w:w="260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Textura (pelo/escama/pele)</w:t>
            </w:r>
          </w:p>
        </w:tc>
        <w:tc>
          <w:tcPr>
            <w:tcW w:type="dxa" w:w="276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Genética</w:t>
            </w:r>
          </w:p>
        </w:tc>
        <w:tc>
          <w:tcPr>
            <w:tcW w:type="dxa" w:w="400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Linhagem e clima de origem</w:t>
            </w:r>
          </w:p>
        </w:tc>
      </w:tr>
      <w:tr>
        <w:tc>
          <w:tcPr>
            <w:tcW w:type="dxa" w:w="260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Forma e silhueta</w:t>
            </w:r>
          </w:p>
        </w:tc>
        <w:tc>
          <w:tcPr>
            <w:tcW w:type="dxa" w:w="276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Genética</w:t>
            </w:r>
          </w:p>
        </w:tc>
        <w:tc>
          <w:tcPr>
            <w:tcW w:type="dxa" w:w="400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Espécie e grau de divergência/especiação</w:t>
            </w:r>
          </w:p>
        </w:tc>
      </w:tr>
      <w:tr>
        <w:tc>
          <w:tcPr>
            <w:tcW w:type="dxa" w:w="260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Tamanho</w:t>
            </w:r>
          </w:p>
        </w:tc>
        <w:tc>
          <w:tcPr>
            <w:tcW w:type="dxa" w:w="276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Genética + nutrição</w:t>
            </w:r>
          </w:p>
        </w:tc>
        <w:tc>
          <w:tcPr>
            <w:tcW w:type="dxa" w:w="400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Saúde, recursos, dimorfismo</w:t>
            </w:r>
          </w:p>
        </w:tc>
      </w:tr>
      <w:tr>
        <w:tc>
          <w:tcPr>
            <w:tcW w:type="dxa" w:w="260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Ornamentos e pinturas</w:t>
            </w:r>
          </w:p>
        </w:tc>
        <w:tc>
          <w:tcPr>
            <w:tcW w:type="dxa" w:w="276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Cultura</w:t>
            </w:r>
          </w:p>
        </w:tc>
        <w:tc>
          <w:tcPr>
            <w:tcW w:type="dxa" w:w="400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Identidade tribal, papel social, rito</w:t>
            </w:r>
          </w:p>
        </w:tc>
      </w:tr>
      <w:tr>
        <w:tc>
          <w:tcPr>
            <w:tcW w:type="dxa" w:w="260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Postura e cor de sinal</w:t>
            </w:r>
          </w:p>
        </w:tc>
        <w:tc>
          <w:tcPr>
            <w:tcW w:type="dxa" w:w="276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Comunicação (estado)</w:t>
            </w:r>
          </w:p>
        </w:tc>
        <w:tc>
          <w:tcPr>
            <w:tcW w:type="dxa" w:w="400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Emoção e intenção (não-verbal, GDD §3.5)</w:t>
            </w:r>
          </w:p>
        </w:tc>
      </w:tr>
    </w:tbl>
    <w:p>
      <w:pPr>
        <w:pBdr>
          <w:top w:val="dashed" w:color="8C5BAA" w:sz="8" w:space="14"/>
          <w:bottom w:val="dashed" w:color="8C5BAA" w:sz="8" w:space="14"/>
        </w:pBdr>
        <w:shd w:fill="F1EBF6" w:val="clear"/>
        <w:spacing w:after="200" w:before="200"/>
        <w:jc w:val="center"/>
      </w:pPr>
      <w:r>
        <w:rPr>
          <w:b/>
          <w:bCs/>
          <w:color w:val="8C5BAA"/>
          <w:sz w:val="22"/>
          <w:szCs w:val="22"/>
        </w:rPr>
        <w:t xml:space="preserve">[ ESPAÇO PARA IMAGEM / REFERÊNCIA ]</w:t>
      </w:r>
      <w:r>
        <w:rPr>
          <w:i/>
          <w:iCs/>
          <w:color w:val="6B5B7B"/>
          <w:sz w:val="18"/>
          <w:szCs w:val="18"/>
        </w:rPr>
        <w:br/>
        <w:t xml:space="preserve">Tabela visual: a mesma forma-mãe com cada parâmetro variando isoladamente.</w:t>
      </w:r>
    </w:p>
    <w:p>
      <w:pPr>
        <w:pStyle w:val="Heading2"/>
      </w:pPr>
      <w:r>
        <w:t xml:space="preserve">4.3. Evolução e especiação visíveis</w:t>
      </w:r>
    </w:p>
    <w:p>
      <w:pPr>
        <w:spacing w:after="120" w:line="276"/>
      </w:pPr>
      <w:r>
        <w:t xml:space="preserve">Mostre, num quadro, como uma linhagem se transforma ao longo de eras e como duas populações divergem até virarem espécies visivelmente distintas (ligado a M03). É um dos prazeres visuais centrais do jogo.</w:t>
      </w:r>
    </w:p>
    <w:p>
      <w:pPr>
        <w:pBdr>
          <w:top w:val="dashed" w:color="8C5BAA" w:sz="8" w:space="14"/>
          <w:bottom w:val="dashed" w:color="8C5BAA" w:sz="8" w:space="14"/>
        </w:pBdr>
        <w:shd w:fill="F1EBF6" w:val="clear"/>
        <w:spacing w:after="200" w:before="200"/>
        <w:jc w:val="center"/>
      </w:pPr>
      <w:r>
        <w:rPr>
          <w:b/>
          <w:bCs/>
          <w:color w:val="8C5BAA"/>
          <w:sz w:val="22"/>
          <w:szCs w:val="22"/>
        </w:rPr>
        <w:t xml:space="preserve">REFERÊNCIA VISUAL — estilo-alvo (execução final em 3D)</w:t>
      </w:r>
      <w:r>
        <w:br/>
        <w:drawing>
          <wp:inline distT="0" distB="0" distL="0" distR="0">
            <wp:extent cx="5486400" cy="3657600"/>
            <wp:effectExtent l="0" t="0" r="0" b="0"/>
            <wp:docPr id="103" name="ref_especiaca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ref_especiacao"/>
                    <pic:cNvPicPr/>
                  </pic:nvPicPr>
                  <pic:blipFill>
                    <a:blip r:embed="rId12"/>
                    <a:stretch>
                      <a:fillRect/>
                    </a:stretch>
                  </pic:blipFill>
                  <pic:spPr>
                    <a:xfrm>
                      <a:off x="0" y="0"/>
                      <a:ext cx="5486400" cy="3657600"/>
                    </a:xfrm>
                    <a:prstGeom prst="rect">
                      <a:avLst/>
                    </a:prstGeom>
                  </pic:spPr>
                </pic:pic>
              </a:graphicData>
            </a:graphic>
          </wp:inline>
        </w:drawing>
      </w:r>
      <w:r>
        <w:rPr>
          <w:i/>
          <w:iCs/>
          <w:color w:val="6B5B7B"/>
          <w:sz w:val="18"/>
          <w:szCs w:val="18"/>
        </w:rPr>
        <w:br/>
        <w:t xml:space="preserve">Árvore visual de uma linhagem evoluindo e se ramificando (especiação).</w:t>
      </w:r>
    </w:p>
    <w:p>
      <w:pPr>
        <w:pStyle w:val="Heading2"/>
      </w:pPr>
      <w:r>
        <w:t xml:space="preserve">4.4. Animação</w:t>
      </w:r>
    </w:p>
    <w:p>
      <w:pPr>
        <w:spacing w:after="120" w:line="276"/>
      </w:pPr>
      <w:r>
        <w:t xml:space="preserve">Animação 3D econômica: esqueleto simples (rig) somado a procedural (squash &amp; stretch via escala de bones/blend shapes, balanço, respiração) para dar vida sem custo proibitivo. Estados a cobrir: ocioso, locomoção, forragear, fugir/alerta, cortejo, conflito, morte. A cor de sinal (material emissivo) e a postura comunicam o estado emocional sem texto.</w:t>
      </w:r>
    </w:p>
    <w:p>
      <w:pPr>
        <w:pBdr>
          <w:top w:val="dashed" w:color="8C5BAA" w:sz="8" w:space="14"/>
          <w:bottom w:val="dashed" w:color="8C5BAA" w:sz="8" w:space="14"/>
        </w:pBdr>
        <w:shd w:fill="F1EBF6" w:val="clear"/>
        <w:spacing w:after="200" w:before="200"/>
        <w:jc w:val="center"/>
      </w:pPr>
      <w:r>
        <w:rPr>
          <w:b/>
          <w:bCs/>
          <w:color w:val="8C5BAA"/>
          <w:sz w:val="22"/>
          <w:szCs w:val="22"/>
        </w:rPr>
        <w:t xml:space="preserve">[ ESPAÇO PARA IMAGEM / REFERÊNCIA ]</w:t>
      </w:r>
      <w:r>
        <w:rPr>
          <w:i/>
          <w:iCs/>
          <w:color w:val="6B5B7B"/>
          <w:sz w:val="18"/>
          <w:szCs w:val="18"/>
        </w:rPr>
        <w:br/>
        <w:t xml:space="preserve">Clipes de animação 3D (rig + procedural) dos estados principais ou referências de timing.</w:t>
      </w:r>
    </w:p>
    <w:p>
      <w:pPr>
        <w:pStyle w:val="Heading1"/>
      </w:pPr>
      <w:r>
        <w:t xml:space="preserve">5. O ambiente</w:t>
      </w:r>
    </w:p>
    <w:p>
      <w:pPr>
        <w:spacing w:after="120" w:line="276"/>
      </w:pPr>
      <w:r>
        <w:t xml:space="preserve">O ambiente é uma tela viva e mutável (GDD §8.4), refletindo natureza e a marca da civilização.</w:t>
      </w:r>
    </w:p>
    <w:p>
      <w:pPr>
        <w:pStyle w:val="ListParagraph"/>
        <w:numPr>
          <w:ilvl w:val="0"/>
          <w:numId w:val="2"/>
        </w:numPr>
        <w:spacing w:after="60" w:line="264"/>
      </w:pPr>
      <w:r>
        <w:t xml:space="preserve">Biomas com identidade de cor/textura própria, que mudam com clima e estação (E03/M06).</w:t>
      </w:r>
    </w:p>
    <w:p>
      <w:pPr>
        <w:pStyle w:val="ListParagraph"/>
        <w:numPr>
          <w:ilvl w:val="0"/>
          <w:numId w:val="2"/>
        </w:numPr>
        <w:spacing w:after="60" w:line="264"/>
      </w:pPr>
      <w:r>
        <w:t xml:space="preserve">Construções que refletem o estágio sociopolítico e o estilo artístico da cultura — duas civilizações constroem de formas visivelmente distintas.</w:t>
      </w:r>
    </w:p>
    <w:p>
      <w:pPr>
        <w:pStyle w:val="ListParagraph"/>
        <w:numPr>
          <w:ilvl w:val="0"/>
          <w:numId w:val="2"/>
        </w:numPr>
        <w:spacing w:after="60" w:line="264"/>
      </w:pPr>
      <w:r>
        <w:t xml:space="preserve">Território marcado visualmente: fronteiras, totens, campos cultivados, estradas.</w:t>
      </w:r>
    </w:p>
    <w:p>
      <w:pPr>
        <w:pStyle w:val="ListParagraph"/>
        <w:numPr>
          <w:ilvl w:val="0"/>
          <w:numId w:val="2"/>
        </w:numPr>
        <w:spacing w:after="60" w:line="264"/>
      </w:pPr>
      <w:r>
        <w:t xml:space="preserve">Cicatrizes ambientais: desmatamento, poluição, campos de batalha permanecem visíveis e contam a história.</w:t>
      </w:r>
    </w:p>
    <w:p>
      <w:pPr>
        <w:pBdr>
          <w:top w:val="dashed" w:color="8C5BAA" w:sz="8" w:space="14"/>
          <w:bottom w:val="dashed" w:color="8C5BAA" w:sz="8" w:space="14"/>
        </w:pBdr>
        <w:shd w:fill="F1EBF6" w:val="clear"/>
        <w:spacing w:after="200" w:before="200"/>
        <w:jc w:val="center"/>
      </w:pPr>
      <w:r>
        <w:rPr>
          <w:b/>
          <w:bCs/>
          <w:color w:val="8C5BAA"/>
          <w:sz w:val="22"/>
          <w:szCs w:val="22"/>
        </w:rPr>
        <w:t xml:space="preserve">REFERÊNCIA VISUAL — estilo-alvo (execução final em 3D)</w:t>
      </w:r>
      <w:r>
        <w:br/>
        <w:drawing>
          <wp:inline distT="0" distB="0" distL="0" distR="0">
            <wp:extent cx="5486400" cy="3657600"/>
            <wp:effectExtent l="0" t="0" r="0" b="0"/>
            <wp:docPr id="104" name="ref_biom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ref_biomas"/>
                    <pic:cNvPicPr/>
                  </pic:nvPicPr>
                  <pic:blipFill>
                    <a:blip r:embed="rId13"/>
                    <a:stretch>
                      <a:fillRect/>
                    </a:stretch>
                  </pic:blipFill>
                  <pic:spPr>
                    <a:xfrm>
                      <a:off x="0" y="0"/>
                      <a:ext cx="5486400" cy="3657600"/>
                    </a:xfrm>
                    <a:prstGeom prst="rect">
                      <a:avLst/>
                    </a:prstGeom>
                  </pic:spPr>
                </pic:pic>
              </a:graphicData>
            </a:graphic>
          </wp:inline>
        </w:drawing>
      </w:r>
      <w:r>
        <w:rPr>
          <w:i/>
          <w:iCs/>
          <w:color w:val="6B5B7B"/>
          <w:sz w:val="18"/>
          <w:szCs w:val="18"/>
        </w:rPr>
        <w:br/>
        <w:t xml:space="preserve">Concepts de cada bioma e de uma mesma região em estações/épocas diferentes.</w:t>
      </w:r>
    </w:p>
    <w:p>
      <w:pPr>
        <w:pBdr>
          <w:top w:val="dashed" w:color="8C5BAA" w:sz="8" w:space="14"/>
          <w:bottom w:val="dashed" w:color="8C5BAA" w:sz="8" w:space="14"/>
        </w:pBdr>
        <w:shd w:fill="F1EBF6" w:val="clear"/>
        <w:spacing w:after="200" w:before="200"/>
        <w:jc w:val="center"/>
      </w:pPr>
      <w:r>
        <w:rPr>
          <w:b/>
          <w:bCs/>
          <w:color w:val="8C5BAA"/>
          <w:sz w:val="22"/>
          <w:szCs w:val="22"/>
        </w:rPr>
        <w:t xml:space="preserve">REFERÊNCIA VISUAL — estilo-alvo (execução final em 3D)</w:t>
      </w:r>
      <w:r>
        <w:br/>
        <w:drawing>
          <wp:inline distT="0" distB="0" distL="0" distR="0">
            <wp:extent cx="5486400" cy="3657600"/>
            <wp:effectExtent l="0" t="0" r="0" b="0"/>
            <wp:docPr id="105" name="ref_construco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ref_construcoes"/>
                    <pic:cNvPicPr/>
                  </pic:nvPicPr>
                  <pic:blipFill>
                    <a:blip r:embed="rId14"/>
                    <a:stretch>
                      <a:fillRect/>
                    </a:stretch>
                  </pic:blipFill>
                  <pic:spPr>
                    <a:xfrm>
                      <a:off x="0" y="0"/>
                      <a:ext cx="5486400" cy="3657600"/>
                    </a:xfrm>
                    <a:prstGeom prst="rect">
                      <a:avLst/>
                    </a:prstGeom>
                  </pic:spPr>
                </pic:pic>
              </a:graphicData>
            </a:graphic>
          </wp:inline>
        </w:drawing>
      </w:r>
      <w:r>
        <w:rPr>
          <w:i/>
          <w:iCs/>
          <w:color w:val="6B5B7B"/>
          <w:sz w:val="18"/>
          <w:szCs w:val="18"/>
        </w:rPr>
        <w:br/>
        <w:t xml:space="preserve">Progressão de construções por estágio (bando → tribo → cidade → estado).</w:t>
      </w:r>
    </w:p>
    <w:p>
      <w:pPr>
        <w:pStyle w:val="Heading1"/>
      </w:pPr>
      <w:r>
        <w:t xml:space="preserve">6. Linguagem visual da informação (UI/overlays)</w:t>
      </w:r>
    </w:p>
    <w:p>
      <w:pPr>
        <w:spacing w:after="120" w:line="276"/>
      </w:pPr>
      <w:r>
        <w:t xml:space="preserve">Como o jogo expõe centenas de estatísticas (M13), a UI precisa traduzir dados em sensação. Princípio de leitura dupla (GDD §9.5): o mundo vivo e os overlays dão leitura intuitiva e imediata; gráficos, fichas e códice dão leitura precisa sob demanda.</w:t>
      </w:r>
    </w:p>
    <w:p>
      <w:pPr>
        <w:pStyle w:val="Heading2"/>
      </w:pPr>
      <w:r>
        <w:t xml:space="preserve">6.1. Overlays</w:t>
      </w:r>
    </w:p>
    <w:p>
      <w:pPr>
        <w:spacing w:after="120" w:line="276"/>
      </w:pPr>
      <w:r>
        <w:t xml:space="preserve">Sobreposições alternáveis que repintam o mundo por estatística (mapa de calor de agressividade, recursos, fé, densidade populacional, divergência linguística), usando as paletas semânticas da §3.2.</w:t>
      </w:r>
    </w:p>
    <w:p>
      <w:pPr>
        <w:pBdr>
          <w:top w:val="dashed" w:color="8C5BAA" w:sz="8" w:space="14"/>
          <w:bottom w:val="dashed" w:color="8C5BAA" w:sz="8" w:space="14"/>
        </w:pBdr>
        <w:shd w:fill="F1EBF6" w:val="clear"/>
        <w:spacing w:after="200" w:before="200"/>
        <w:jc w:val="center"/>
      </w:pPr>
      <w:r>
        <w:rPr>
          <w:b/>
          <w:bCs/>
          <w:color w:val="8C5BAA"/>
          <w:sz w:val="22"/>
          <w:szCs w:val="22"/>
        </w:rPr>
        <w:t xml:space="preserve">REFERÊNCIA VISUAL — estilo-alvo (execução final em 3D)</w:t>
      </w:r>
      <w:r>
        <w:br/>
        <w:drawing>
          <wp:inline distT="0" distB="0" distL="0" distR="0">
            <wp:extent cx="5486400" cy="3063240"/>
            <wp:effectExtent l="0" t="0" r="0" b="0"/>
            <wp:docPr id="106" name="ref_mundoviv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ref_mundovivo"/>
                    <pic:cNvPicPr/>
                  </pic:nvPicPr>
                  <pic:blipFill>
                    <a:blip r:embed="rId15"/>
                    <a:stretch>
                      <a:fillRect/>
                    </a:stretch>
                  </pic:blipFill>
                  <pic:spPr>
                    <a:xfrm>
                      <a:off x="0" y="0"/>
                      <a:ext cx="5486400" cy="3063240"/>
                    </a:xfrm>
                    <a:prstGeom prst="rect">
                      <a:avLst/>
                    </a:prstGeom>
                  </pic:spPr>
                </pic:pic>
              </a:graphicData>
            </a:graphic>
          </wp:inline>
        </w:drawing>
      </w:r>
      <w:r>
        <w:rPr>
          <w:i/>
          <w:iCs/>
          <w:color w:val="6B5B7B"/>
          <w:sz w:val="18"/>
          <w:szCs w:val="18"/>
        </w:rPr>
        <w:br/>
        <w:t xml:space="preserve">Mockup do mundo com 2–3 overlays diferentes ativos.</w:t>
      </w:r>
    </w:p>
    <w:p>
      <w:pPr>
        <w:pStyle w:val="Heading2"/>
      </w:pPr>
      <w:r>
        <w:t xml:space="preserve">6.2. Painéis (GDD §9.3)</w:t>
      </w:r>
    </w:p>
    <w:p>
      <w:pPr>
        <w:spacing w:after="120" w:line="276"/>
      </w:pPr>
      <w:r>
        <w:t xml:space="preserve">Defina o visual de: mundo vivo, painel da civilização, ficha de indivíduo/Figura, códice cultural/religioso, mapa+overlays, e linha do tempo/Crônica. Mantenha consistência de ícones e cores para emoções coletivas e eventos.</w:t>
      </w:r>
    </w:p>
    <w:p>
      <w:pPr>
        <w:pBdr>
          <w:top w:val="dashed" w:color="8C5BAA" w:sz="8" w:space="14"/>
          <w:bottom w:val="dashed" w:color="8C5BAA" w:sz="8" w:space="14"/>
        </w:pBdr>
        <w:shd w:fill="F1EBF6" w:val="clear"/>
        <w:spacing w:after="200" w:before="200"/>
        <w:jc w:val="center"/>
      </w:pPr>
      <w:r>
        <w:rPr>
          <w:b/>
          <w:bCs/>
          <w:color w:val="8C5BAA"/>
          <w:sz w:val="22"/>
          <w:szCs w:val="22"/>
        </w:rPr>
        <w:t xml:space="preserve">REFERÊNCIA VISUAL — estilo-alvo (execução final em 3D)</w:t>
      </w:r>
      <w:r>
        <w:br/>
        <w:drawing>
          <wp:inline distT="0" distB="0" distL="0" distR="0">
            <wp:extent cx="5486400" cy="3657600"/>
            <wp:effectExtent l="0" t="0" r="0" b="0"/>
            <wp:docPr id="107" name="ref_paine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ref_paineis"/>
                    <pic:cNvPicPr/>
                  </pic:nvPicPr>
                  <pic:blipFill>
                    <a:blip r:embed="rId16"/>
                    <a:stretch>
                      <a:fillRect/>
                    </a:stretch>
                  </pic:blipFill>
                  <pic:spPr>
                    <a:xfrm>
                      <a:off x="0" y="0"/>
                      <a:ext cx="5486400" cy="3657600"/>
                    </a:xfrm>
                    <a:prstGeom prst="rect">
                      <a:avLst/>
                    </a:prstGeom>
                  </pic:spPr>
                </pic:pic>
              </a:graphicData>
            </a:graphic>
          </wp:inline>
        </w:drawing>
      </w:r>
      <w:r>
        <w:rPr>
          <w:i/>
          <w:iCs/>
          <w:color w:val="6B5B7B"/>
          <w:sz w:val="18"/>
          <w:szCs w:val="18"/>
        </w:rPr>
        <w:br/>
        <w:t xml:space="preserve">Wireframes/mockups de cada painel principal.</w:t>
      </w:r>
    </w:p>
    <w:p>
      <w:pPr>
        <w:pStyle w:val="Heading2"/>
      </w:pPr>
      <w:r>
        <w:t xml:space="preserve">6.3. A escrita emergente como elemento gráfico</w:t>
      </w:r>
    </w:p>
    <w:p>
      <w:pPr>
        <w:spacing w:after="120" w:line="276"/>
      </w:pPr>
      <w:r>
        <w:t xml:space="preserve">A escrita procedural de cada civilização (M08) aparece em construções, artefatos e na Crônica — ilegível ao jogador no início e gradualmente 'traduzível'. Trate-a como um elemento de arte: cada idioma tem um sistema de símbolos com identidade visual própria.</w:t>
      </w:r>
    </w:p>
    <w:p>
      <w:pPr>
        <w:pBdr>
          <w:top w:val="dashed" w:color="8C5BAA" w:sz="8" w:space="14"/>
          <w:bottom w:val="dashed" w:color="8C5BAA" w:sz="8" w:space="14"/>
        </w:pBdr>
        <w:shd w:fill="F1EBF6" w:val="clear"/>
        <w:spacing w:after="200" w:before="200"/>
        <w:jc w:val="center"/>
      </w:pPr>
      <w:r>
        <w:rPr>
          <w:b/>
          <w:bCs/>
          <w:color w:val="8C5BAA"/>
          <w:sz w:val="22"/>
          <w:szCs w:val="22"/>
        </w:rPr>
        <w:t xml:space="preserve">REFERÊNCIA VISUAL — estilo-alvo (execução final em 3D)</w:t>
      </w:r>
      <w:r>
        <w:br/>
        <w:drawing>
          <wp:inline distT="0" distB="0" distL="0" distR="0">
            <wp:extent cx="5486400" cy="3063240"/>
            <wp:effectExtent l="0" t="0" r="0" b="0"/>
            <wp:docPr id="108" name="ref_escri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ref_escrita"/>
                    <pic:cNvPicPr/>
                  </pic:nvPicPr>
                  <pic:blipFill>
                    <a:blip r:embed="rId17"/>
                    <a:stretch>
                      <a:fillRect/>
                    </a:stretch>
                  </pic:blipFill>
                  <pic:spPr>
                    <a:xfrm>
                      <a:off x="0" y="0"/>
                      <a:ext cx="5486400" cy="3063240"/>
                    </a:xfrm>
                    <a:prstGeom prst="rect">
                      <a:avLst/>
                    </a:prstGeom>
                  </pic:spPr>
                </pic:pic>
              </a:graphicData>
            </a:graphic>
          </wp:inline>
        </w:drawing>
      </w:r>
      <w:r>
        <w:rPr>
          <w:i/>
          <w:iCs/>
          <w:color w:val="6B5B7B"/>
          <w:sz w:val="18"/>
          <w:szCs w:val="18"/>
        </w:rPr>
        <w:br/>
        <w:t xml:space="preserve">Estudos de sistemas de escrita/glifos procedurais por civilização.</w:t>
      </w:r>
    </w:p>
    <w:p>
      <w:pPr>
        <w:pStyle w:val="Heading1"/>
      </w:pPr>
      <w:r>
        <w:t xml:space="preserve">7. O 'lapso de evolução' e a Crônica (artefatos visuais)</w:t>
      </w:r>
    </w:p>
    <w:p>
      <w:pPr>
        <w:spacing w:after="120" w:line="276"/>
      </w:pPr>
      <w:r>
        <w:t xml:space="preserve">O GIF/lapso de evolução (M13/E09) e a Crônica são também peças de identidade visual e de compartilhamento. Defina o enquadramento, a tipografia e a moldura desses artefatos para que sejam reconhecíveis como 'de Gênese' quando compartilhados.</w:t>
      </w:r>
    </w:p>
    <w:p>
      <w:pPr>
        <w:pBdr>
          <w:top w:val="dashed" w:color="8C5BAA" w:sz="8" w:space="14"/>
          <w:bottom w:val="dashed" w:color="8C5BAA" w:sz="8" w:space="14"/>
        </w:pBdr>
        <w:shd w:fill="F1EBF6" w:val="clear"/>
        <w:spacing w:after="200" w:before="200"/>
        <w:jc w:val="center"/>
      </w:pPr>
      <w:r>
        <w:rPr>
          <w:b/>
          <w:bCs/>
          <w:color w:val="8C5BAA"/>
          <w:sz w:val="22"/>
          <w:szCs w:val="22"/>
        </w:rPr>
        <w:t xml:space="preserve">[ ESPAÇO PARA IMAGEM / REFERÊNCIA ]</w:t>
      </w:r>
      <w:r>
        <w:rPr>
          <w:i/>
          <w:iCs/>
          <w:color w:val="6B5B7B"/>
          <w:sz w:val="18"/>
          <w:szCs w:val="18"/>
        </w:rPr>
        <w:br/>
        <w:t xml:space="preserve">Mock do GIF de evolução e do layout da Crônica (com moldura/identidade).</w:t>
      </w:r>
    </w:p>
    <w:p>
      <w:pPr>
        <w:pStyle w:val="Heading1"/>
      </w:pPr>
      <w:r>
        <w:t xml:space="preserve">8. Áudio como camada sensorial (resumo visual-sonoro)</w:t>
      </w:r>
    </w:p>
    <w:p>
      <w:pPr>
        <w:spacing w:after="120" w:line="276"/>
      </w:pPr>
      <w:r>
        <w:t xml:space="preserve">Embora detalhado no GDD §8.6, o áudio integra a identidade: trilha generativa em camadas que cresce com a complexidade cultural, e vocalizações procedurais que evoluem com a linguagem. Visual e som devem 'subir de complexidade' juntos ao longo da partida.</w:t>
      </w:r>
    </w:p>
    <w:p>
      <w:pPr>
        <w:pBdr>
          <w:top w:val="dashed" w:color="8C5BAA" w:sz="8" w:space="14"/>
          <w:bottom w:val="dashed" w:color="8C5BAA" w:sz="8" w:space="14"/>
        </w:pBdr>
        <w:shd w:fill="F1EBF6" w:val="clear"/>
        <w:spacing w:after="200" w:before="200"/>
        <w:jc w:val="center"/>
      </w:pPr>
      <w:r>
        <w:rPr>
          <w:b/>
          <w:bCs/>
          <w:color w:val="8C5BAA"/>
          <w:sz w:val="22"/>
          <w:szCs w:val="22"/>
        </w:rPr>
        <w:t xml:space="preserve">[ ESPAÇO PARA IMAGEM / REFERÊNCIA ]</w:t>
      </w:r>
      <w:r>
        <w:rPr>
          <w:i/>
          <w:iCs/>
          <w:color w:val="6B5B7B"/>
          <w:sz w:val="18"/>
          <w:szCs w:val="18"/>
        </w:rPr>
        <w:br/>
        <w:t xml:space="preserve">Referências sonoras/moodboard de áudio (links ou descrições).</w:t>
      </w:r>
    </w:p>
    <w:p>
      <w:pPr>
        <w:pStyle w:val="Heading1"/>
      </w:pPr>
      <w:r>
        <w:t xml:space="preserve">9. Diretrizes para os artistas</w:t>
      </w:r>
    </w:p>
    <w:p>
      <w:pPr>
        <w:pStyle w:val="ListParagraph"/>
        <w:numPr>
          <w:ilvl w:val="0"/>
          <w:numId w:val="2"/>
        </w:numPr>
        <w:spacing w:after="60" w:line="264"/>
      </w:pPr>
      <w:r>
        <w:t xml:space="preserve">Toda arte de criatura deve funcionar dentro do sistema paramétrico 3D (E10): nada de modelos totalmente manuais que não se componham por genoma/cultura (malha-mãe + blend shapes + partes modulares + materiais).</w:t>
      </w:r>
    </w:p>
    <w:p>
      <w:pPr>
        <w:pStyle w:val="ListParagraph"/>
        <w:numPr>
          <w:ilvl w:val="0"/>
          <w:numId w:val="2"/>
        </w:numPr>
        <w:spacing w:after="60" w:line="264"/>
      </w:pPr>
      <w:r>
        <w:t xml:space="preserve">Priorizar legibilidade na escala real de jogo (testar sempre no tamanho em que aparece).</w:t>
      </w:r>
    </w:p>
    <w:p>
      <w:pPr>
        <w:pStyle w:val="ListParagraph"/>
        <w:numPr>
          <w:ilvl w:val="0"/>
          <w:numId w:val="2"/>
        </w:numPr>
        <w:spacing w:after="60" w:line="264"/>
      </w:pPr>
      <w:r>
        <w:t xml:space="preserve">Respeitar as paletas semânticas: cor é dado, não só estética.</w:t>
      </w:r>
    </w:p>
    <w:p>
      <w:pPr>
        <w:pStyle w:val="ListParagraph"/>
        <w:numPr>
          <w:ilvl w:val="0"/>
          <w:numId w:val="2"/>
        </w:numPr>
        <w:spacing w:after="60" w:line="264"/>
      </w:pPr>
      <w:r>
        <w:t xml:space="preserve">Evitar a 'estética genérica': buscar identidade própria, coerente com a beleza melancólica do tom.</w:t>
      </w:r>
    </w:p>
    <w:p>
      <w:pPr>
        <w:pStyle w:val="ListParagraph"/>
        <w:numPr>
          <w:ilvl w:val="0"/>
          <w:numId w:val="2"/>
        </w:numPr>
        <w:spacing w:after="60" w:line="264"/>
      </w:pPr>
      <w:r>
        <w:t xml:space="preserve">Entregar assets versionados (Git LFS) e em formato compatível com o pipeline 3D da Unity (malhas em glTF/FBX, texturas/materiais PBR estilizados, prefabs).</w:t>
      </w:r>
    </w:p>
    <w:p>
      <w:pPr>
        <w:pStyle w:val="Heading1"/>
      </w:pPr>
      <w:r>
        <w:t xml:space="preserve">10. Checklist visual (para fechar a direção de arte)</w:t>
      </w:r>
    </w:p>
    <w:p>
      <w:pPr>
        <w:spacing w:after="60" w:line="264"/>
        <w:ind w:left="420" w:hanging="300"/>
      </w:pPr>
      <w:r>
        <w:rPr>
          <w:rFonts w:ascii="Segoe UI Symbol" w:cs="Segoe UI Symbol" w:eastAsia="Segoe UI Symbol" w:hAnsi="Segoe UI Symbol"/>
          <w:color w:val="2F6F62"/>
          <w:sz w:val="22"/>
          <w:szCs w:val="22"/>
        </w:rPr>
        <w:t xml:space="preserve">☐  </w:t>
      </w:r>
      <w:r>
        <w:t xml:space="preserve">Moodboard geral aprovado e anexado.</w:t>
      </w:r>
    </w:p>
    <w:p>
      <w:pPr>
        <w:spacing w:after="60" w:line="264"/>
        <w:ind w:left="420" w:hanging="300"/>
      </w:pPr>
      <w:r>
        <w:rPr>
          <w:rFonts w:ascii="Segoe UI Symbol" w:cs="Segoe UI Symbol" w:eastAsia="Segoe UI Symbol" w:hAnsi="Segoe UI Symbol"/>
          <w:color w:val="2F6F62"/>
          <w:sz w:val="22"/>
          <w:szCs w:val="22"/>
        </w:rPr>
        <w:t xml:space="preserve">☐  </w:t>
      </w:r>
      <w:r>
        <w:t xml:space="preserve">Paleta-base final definida (claro/escuro) e anexada.</w:t>
      </w:r>
    </w:p>
    <w:p>
      <w:pPr>
        <w:spacing w:after="60" w:line="264"/>
        <w:ind w:left="420" w:hanging="300"/>
      </w:pPr>
      <w:r>
        <w:rPr>
          <w:rFonts w:ascii="Segoe UI Symbol" w:cs="Segoe UI Symbol" w:eastAsia="Segoe UI Symbol" w:hAnsi="Segoe UI Symbol"/>
          <w:color w:val="2F6F62"/>
          <w:sz w:val="22"/>
          <w:szCs w:val="22"/>
        </w:rPr>
        <w:t xml:space="preserve">☐  </w:t>
      </w:r>
      <w:r>
        <w:t xml:space="preserve">Paletas semânticas definidas para todas as estatísticas-chave.</w:t>
      </w:r>
    </w:p>
    <w:p>
      <w:pPr>
        <w:spacing w:after="60" w:line="264"/>
        <w:ind w:left="420" w:hanging="300"/>
      </w:pPr>
      <w:r>
        <w:rPr>
          <w:rFonts w:ascii="Segoe UI Symbol" w:cs="Segoe UI Symbol" w:eastAsia="Segoe UI Symbol" w:hAnsi="Segoe UI Symbol"/>
          <w:color w:val="2F6F62"/>
          <w:sz w:val="22"/>
          <w:szCs w:val="22"/>
        </w:rPr>
        <w:t xml:space="preserve">☐  </w:t>
      </w:r>
      <w:r>
        <w:t xml:space="preserve">Forma-mãe das criaturas e variações de silhueta aprovadas.</w:t>
      </w:r>
    </w:p>
    <w:p>
      <w:pPr>
        <w:spacing w:after="60" w:line="264"/>
        <w:ind w:left="420" w:hanging="300"/>
      </w:pPr>
      <w:r>
        <w:rPr>
          <w:rFonts w:ascii="Segoe UI Symbol" w:cs="Segoe UI Symbol" w:eastAsia="Segoe UI Symbol" w:hAnsi="Segoe UI Symbol"/>
          <w:color w:val="2F6F62"/>
          <w:sz w:val="22"/>
          <w:szCs w:val="22"/>
        </w:rPr>
        <w:t xml:space="preserve">☐  </w:t>
      </w:r>
      <w:r>
        <w:t xml:space="preserve">Cada parâmetro visual (cor/textura/forma/tamanho/ornamento/postura) ilustrado.</w:t>
      </w:r>
    </w:p>
    <w:p>
      <w:pPr>
        <w:spacing w:after="60" w:line="264"/>
        <w:ind w:left="420" w:hanging="300"/>
      </w:pPr>
      <w:r>
        <w:rPr>
          <w:rFonts w:ascii="Segoe UI Symbol" w:cs="Segoe UI Symbol" w:eastAsia="Segoe UI Symbol" w:hAnsi="Segoe UI Symbol"/>
          <w:color w:val="2F6F62"/>
          <w:sz w:val="22"/>
          <w:szCs w:val="22"/>
        </w:rPr>
        <w:t xml:space="preserve">☐  </w:t>
      </w:r>
      <w:r>
        <w:t xml:space="preserve">Árvore visual de evolução/especiação produzida.</w:t>
      </w:r>
    </w:p>
    <w:p>
      <w:pPr>
        <w:spacing w:after="60" w:line="264"/>
        <w:ind w:left="420" w:hanging="300"/>
      </w:pPr>
      <w:r>
        <w:rPr>
          <w:rFonts w:ascii="Segoe UI Symbol" w:cs="Segoe UI Symbol" w:eastAsia="Segoe UI Symbol" w:hAnsi="Segoe UI Symbol"/>
          <w:color w:val="2F6F62"/>
          <w:sz w:val="22"/>
          <w:szCs w:val="22"/>
        </w:rPr>
        <w:t xml:space="preserve">☐  </w:t>
      </w:r>
      <w:r>
        <w:t xml:space="preserve">Estados de animação definidos (ocioso, locomoção, forragear, alerta, cortejo, conflito, morte).</w:t>
      </w:r>
    </w:p>
    <w:p>
      <w:pPr>
        <w:spacing w:after="60" w:line="264"/>
        <w:ind w:left="420" w:hanging="300"/>
      </w:pPr>
      <w:r>
        <w:rPr>
          <w:rFonts w:ascii="Segoe UI Symbol" w:cs="Segoe UI Symbol" w:eastAsia="Segoe UI Symbol" w:hAnsi="Segoe UI Symbol"/>
          <w:color w:val="2F6F62"/>
          <w:sz w:val="22"/>
          <w:szCs w:val="22"/>
        </w:rPr>
        <w:t xml:space="preserve">☐  </w:t>
      </w:r>
      <w:r>
        <w:t xml:space="preserve">Concepts de todos os biomas e de variação sazonal anexados.</w:t>
      </w:r>
    </w:p>
    <w:p>
      <w:pPr>
        <w:spacing w:after="60" w:line="264"/>
        <w:ind w:left="420" w:hanging="300"/>
      </w:pPr>
      <w:r>
        <w:rPr>
          <w:rFonts w:ascii="Segoe UI Symbol" w:cs="Segoe UI Symbol" w:eastAsia="Segoe UI Symbol" w:hAnsi="Segoe UI Symbol"/>
          <w:color w:val="2F6F62"/>
          <w:sz w:val="22"/>
          <w:szCs w:val="22"/>
        </w:rPr>
        <w:t xml:space="preserve">☐  </w:t>
      </w:r>
      <w:r>
        <w:t xml:space="preserve">Progressão visual de construções por estágio anexada.</w:t>
      </w:r>
    </w:p>
    <w:p>
      <w:pPr>
        <w:spacing w:after="60" w:line="264"/>
        <w:ind w:left="420" w:hanging="300"/>
      </w:pPr>
      <w:r>
        <w:rPr>
          <w:rFonts w:ascii="Segoe UI Symbol" w:cs="Segoe UI Symbol" w:eastAsia="Segoe UI Symbol" w:hAnsi="Segoe UI Symbol"/>
          <w:color w:val="2F6F62"/>
          <w:sz w:val="22"/>
          <w:szCs w:val="22"/>
        </w:rPr>
        <w:t xml:space="preserve">☐  </w:t>
      </w:r>
      <w:r>
        <w:t xml:space="preserve">Mockups de overlays e de todos os painéis (GDD §9.3) anexados.</w:t>
      </w:r>
    </w:p>
    <w:p>
      <w:pPr>
        <w:spacing w:after="60" w:line="264"/>
        <w:ind w:left="420" w:hanging="300"/>
      </w:pPr>
      <w:r>
        <w:rPr>
          <w:rFonts w:ascii="Segoe UI Symbol" w:cs="Segoe UI Symbol" w:eastAsia="Segoe UI Symbol" w:hAnsi="Segoe UI Symbol"/>
          <w:color w:val="2F6F62"/>
          <w:sz w:val="22"/>
          <w:szCs w:val="22"/>
        </w:rPr>
        <w:t xml:space="preserve">☐  </w:t>
      </w:r>
      <w:r>
        <w:t xml:space="preserve">Sistemas de escrita procedural estudados visualmente.</w:t>
      </w:r>
    </w:p>
    <w:p>
      <w:pPr>
        <w:spacing w:after="60" w:line="264"/>
        <w:ind w:left="420" w:hanging="300"/>
      </w:pPr>
      <w:r>
        <w:rPr>
          <w:rFonts w:ascii="Segoe UI Symbol" w:cs="Segoe UI Symbol" w:eastAsia="Segoe UI Symbol" w:hAnsi="Segoe UI Symbol"/>
          <w:color w:val="2F6F62"/>
          <w:sz w:val="22"/>
          <w:szCs w:val="22"/>
        </w:rPr>
        <w:t xml:space="preserve">☐  </w:t>
      </w:r>
      <w:r>
        <w:t xml:space="preserve">Identidade visual do GIF de evolução e da Crônica definida.</w:t>
      </w:r>
    </w:p>
    <w:p>
      <w:pPr>
        <w:spacing w:after="60" w:line="264"/>
        <w:ind w:left="420" w:hanging="300"/>
      </w:pPr>
      <w:r>
        <w:rPr>
          <w:rFonts w:ascii="Segoe UI Symbol" w:cs="Segoe UI Symbol" w:eastAsia="Segoe UI Symbol" w:hAnsi="Segoe UI Symbol"/>
          <w:color w:val="2F6F62"/>
          <w:sz w:val="22"/>
          <w:szCs w:val="22"/>
        </w:rPr>
        <w:t xml:space="preserve">☐  </w:t>
      </w:r>
      <w:r>
        <w:t xml:space="preserve">Referências de áudio reunidas.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AA6B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D2CE" w:sz="4" w:space="4"/>
      </w:pBdr>
      <w:jc w:val="right"/>
    </w:pPr>
    <w:r>
      <w:rPr>
        <w:color w:val="9AA6B0"/>
        <w:sz w:val="16"/>
        <w:szCs w:val="16"/>
      </w:rPr>
      <w:t xml:space="preserve">GÊNESE · DV Design Visual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3303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F6F62" w:sz="8" w:space="6"/>
      </w:pBdr>
      <w:spacing w:after="140" w:before="300"/>
      <w:outlineLvl w:val="0"/>
    </w:pPr>
    <w:rPr>
      <w:rFonts w:ascii="Calibri" w:cs="Calibri" w:eastAsia="Calibri" w:hAnsi="Calibri"/>
      <w:b/>
      <w:bCs/>
      <w:color w:val="2F6F62"/>
      <w:sz w:val="32"/>
      <w:szCs w:val="32"/>
    </w:rPr>
  </w:style>
  <w:style w:type="paragraph" w:styleId="Heading2">
    <w:name w:val="Heading 2"/>
    <w:basedOn w:val="Normal"/>
    <w:next w:val="Normal"/>
    <w:qFormat/>
    <w:pPr>
      <w:spacing w:after="110" w:before="220"/>
      <w:outlineLvl w:val="1"/>
    </w:pPr>
    <w:rPr>
      <w:rFonts w:ascii="Calibri" w:cs="Calibri" w:eastAsia="Calibri" w:hAnsi="Calibri"/>
      <w:b/>
      <w:bCs/>
      <w:color w:val="1F2933"/>
      <w:sz w:val="26"/>
      <w:szCs w:val="26"/>
    </w:rPr>
  </w:style>
  <w:style w:type="paragraph" w:styleId="Heading3">
    <w:name w:val="Heading 3"/>
    <w:basedOn w:val="Normal"/>
    <w:next w:val="Normal"/>
    <w:qFormat/>
    <w:pPr>
      <w:spacing w:after="70" w:before="150"/>
      <w:outlineLvl w:val="2"/>
    </w:pPr>
    <w:rPr>
      <w:rFonts w:ascii="Calibri" w:cs="Calibri" w:eastAsia="Calibri" w:hAnsi="Calibri"/>
      <w:b/>
      <w:bCs/>
      <w:color w:val="8C5BA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 Id="rId10" Type="http://schemas.openxmlformats.org/officeDocument/2006/relationships/image" Target="media/image1.jpg"/><Relationship Id="rId11" Type="http://schemas.openxmlformats.org/officeDocument/2006/relationships/image" Target="media/image2.jpg"/><Relationship Id="rId12" Type="http://schemas.openxmlformats.org/officeDocument/2006/relationships/image" Target="media/image3.jpg"/><Relationship Id="rId13" Type="http://schemas.openxmlformats.org/officeDocument/2006/relationships/image" Target="media/image4.jpg"/><Relationship Id="rId14" Type="http://schemas.openxmlformats.org/officeDocument/2006/relationships/image" Target="media/image5.jpg"/><Relationship Id="rId15" Type="http://schemas.openxmlformats.org/officeDocument/2006/relationships/image" Target="media/image6.jpg"/><Relationship Id="rId16" Type="http://schemas.openxmlformats.org/officeDocument/2006/relationships/image" Target="media/image7.jpg"/><Relationship Id="rId17" Type="http://schemas.openxmlformats.org/officeDocument/2006/relationships/image" Target="media/image8.jpg"/></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DV — Design Visual</dc:title>
  <dc:creator>Equipe Gênese</dc:creator>
  <cp:lastModifiedBy>Un-named</cp:lastModifiedBy>
  <cp:revision>1</cp:revision>
  <dcterms:created xsi:type="dcterms:W3CDTF">2026-06-01T02:45:55.155Z</dcterms:created>
  <dcterms:modified xsi:type="dcterms:W3CDTF">2026-06-01T02:45:55.155Z</dcterms:modified>
</cp:coreProperties>
</file>

<file path=docProps/custom.xml><?xml version="1.0" encoding="utf-8"?>
<Properties xmlns="http://schemas.openxmlformats.org/officeDocument/2006/custom-properties" xmlns:vt="http://schemas.openxmlformats.org/officeDocument/2006/docPropsVTypes"/>
</file>