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400"/>
        <w:jc w:val="center"/>
      </w:pPr>
      <w:r>
        <w:rPr>
          <w:b/>
          <w:bCs/>
          <w:color w:val="8C5BAA"/>
          <w:sz w:val="40"/>
          <w:szCs w:val="40"/>
        </w:rPr>
        <w:t xml:space="preserve">M05</w:t>
      </w:r>
    </w:p>
    <w:p>
      <w:pPr>
        <w:spacing w:after="40"/>
        <w:jc w:val="center"/>
      </w:pPr>
      <w:r>
        <w:rPr>
          <w:b/>
          <w:bCs/>
          <w:color w:val="2F6F62"/>
          <w:sz w:val="60"/>
          <w:szCs w:val="60"/>
        </w:rPr>
        <w:t xml:space="preserve">Comportamento Coletivo Emergente</w:t>
      </w:r>
    </w:p>
    <w:p>
      <w:pPr>
        <w:spacing w:after="60"/>
        <w:jc w:val="center"/>
      </w:pPr>
      <w:r>
        <w:rPr>
          <w:color w:val="7A8691"/>
          <w:sz w:val="24"/>
          <w:szCs w:val="24"/>
        </w:rPr>
        <w:t xml:space="preserve">Documento de Mecânica — Gênese</w:t>
      </w:r>
    </w:p>
    <w:p>
      <w:pPr>
        <w:spacing w:after="400"/>
        <w:jc w:val="center"/>
      </w:pPr>
      <w:r>
        <w:rPr>
          <w:i/>
          <w:iCs/>
          <w:color w:val="7A8691"/>
          <w:sz w:val="22"/>
          <w:szCs w:val="22"/>
        </w:rPr>
        <w:t xml:space="preserve">Como grupos, hierarquias, papéis e Figuras surgem dos indivíduos</w:t>
      </w:r>
    </w:p>
    <w:p>
      <w:pPr>
        <w:spacing w:after="120" w:line="276"/>
      </w:pPr>
      <w:r>
        <w:rPr>
          <w:b/>
          <w:bCs/>
          <w:color w:val="2F6F62"/>
          <w:sz w:val="24"/>
          <w:szCs w:val="24"/>
        </w:rPr>
        <w:t xml:space="preserve">Metadados e dependências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8D2CE" w:sz="1"/>
              <w:left w:val="single" w:color="C8D2CE" w:sz="1"/>
              <w:bottom w:val="single" w:color="C8D2CE" w:sz="1"/>
              <w:right w:val="single" w:color="C8D2CE" w:sz="1"/>
            </w:tcBorders>
            <w:shd w:fill="8C5BAA" w:val="clear"/>
            <w:tcMar>
              <w:top w:type="dxa" w:w="80"/>
              <w:left w:type="dxa" w:w="120"/>
              <w:bottom w:type="dxa" w:w="80"/>
              <w:right w:type="dxa" w:w="120"/>
            </w:tcMar>
          </w:tcPr>
          <w:p>
            <w:r>
              <w:rPr>
                <w:b/>
                <w:bCs/>
                <w:color w:val="FFFFFF"/>
                <w:sz w:val="20"/>
                <w:szCs w:val="20"/>
              </w:rPr>
              <w:t xml:space="preserve">Campo</w:t>
            </w:r>
          </w:p>
        </w:tc>
        <w:tc>
          <w:tcPr>
            <w:tcW w:type="dxa" w:w="6960"/>
            <w:tcBorders>
              <w:top w:val="single" w:color="C8D2CE" w:sz="1"/>
              <w:left w:val="single" w:color="C8D2CE" w:sz="1"/>
              <w:bottom w:val="single" w:color="C8D2CE" w:sz="1"/>
              <w:right w:val="single" w:color="C8D2CE" w:sz="1"/>
            </w:tcBorders>
            <w:shd w:fill="8C5BAA" w:val="clear"/>
            <w:tcMar>
              <w:top w:type="dxa" w:w="80"/>
              <w:left w:type="dxa" w:w="120"/>
              <w:bottom w:type="dxa" w:w="80"/>
              <w:right w:type="dxa" w:w="120"/>
            </w:tcMar>
          </w:tcPr>
          <w:p>
            <w:r>
              <w:rPr>
                <w:b/>
                <w:bCs/>
                <w:color w:val="FFFFFF"/>
                <w:sz w:val="20"/>
                <w:szCs w:val="20"/>
              </w:rPr>
              <w:t xml:space="preserve">Valor</w:t>
            </w:r>
          </w:p>
        </w:tc>
      </w:tr>
      <w:tr>
        <w:tc>
          <w:tcPr>
            <w:tcW w:type="dxa" w:w="24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Identificador</w:t>
            </w:r>
          </w:p>
        </w:tc>
        <w:tc>
          <w:tcPr>
            <w:tcW w:type="dxa" w:w="696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M05</w:t>
            </w:r>
          </w:p>
        </w:tc>
      </w:tr>
      <w:tr>
        <w:tc>
          <w:tcPr>
            <w:tcW w:type="dxa" w:w="240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Versão</w:t>
            </w:r>
          </w:p>
        </w:tc>
        <w:tc>
          <w:tcPr>
            <w:tcW w:type="dxa" w:w="696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0.1</w:t>
            </w:r>
          </w:p>
        </w:tc>
      </w:tr>
      <w:tr>
        <w:tc>
          <w:tcPr>
            <w:tcW w:type="dxa" w:w="24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Depende de</w:t>
            </w:r>
          </w:p>
        </w:tc>
        <w:tc>
          <w:tcPr>
            <w:tcW w:type="dxa" w:w="696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M02 — Traços; M04 — Decisão Individual</w:t>
            </w:r>
          </w:p>
        </w:tc>
      </w:tr>
      <w:tr>
        <w:tc>
          <w:tcPr>
            <w:tcW w:type="dxa" w:w="240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Alimenta / é usada por</w:t>
            </w:r>
          </w:p>
        </w:tc>
        <w:tc>
          <w:tcPr>
            <w:tcW w:type="dxa" w:w="696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M08; M09; M11; M12</w:t>
            </w:r>
          </w:p>
        </w:tc>
      </w:tr>
      <w:tr>
        <w:tc>
          <w:tcPr>
            <w:tcW w:type="dxa" w:w="24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Referência no GDD</w:t>
            </w:r>
          </w:p>
        </w:tc>
        <w:tc>
          <w:tcPr>
            <w:tcW w:type="dxa" w:w="696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§3.4; §4.2</w:t>
            </w:r>
          </w:p>
        </w:tc>
      </w:tr>
    </w:tbl>
    <w:p>
      <w:pPr>
        <w:spacing w:before="160"/>
      </w:pPr>
      <w:r>
        <w:rPr>
          <w:b/>
          <w:bCs/>
          <w:color w:val="8C5BAA"/>
        </w:rPr>
        <w:t xml:space="preserve">Princípio de causalidade (vale para todo o documento): </w:t>
      </w:r>
      <w:r>
        <w:rPr>
          <w:i/>
          <w:iCs/>
        </w:rPr>
        <w:t xml:space="preserve">nenhum número aleatório é consultado sem que sua distribuição derive do estado do mundo. Não há 'evento aleatório', só 'resultado incerto de causas conhecidas' (GDD §1.5). Toda subseção 'Causalidade' abaixo declara de onde vêm as probabilidades.</w:t>
      </w:r>
    </w:p>
    <w:p>
      <w:r>
        <w:br w:type="page"/>
      </w:r>
    </w:p>
    <w:p>
      <w:pPr>
        <w:pStyle w:val="Heading1"/>
      </w:pPr>
      <w:r>
        <w:t xml:space="preserve">Índice</w:t>
      </w:r>
    </w:p>
    <w:sdt>
      <w:sdtPr>
        <w:alias w:val="Sumário"/>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Objetivo</w:t>
      </w:r>
    </w:p>
    <w:p>
      <w:pPr>
        <w:spacing w:after="120" w:line="276"/>
      </w:pPr>
      <w:r>
        <w:t xml:space="preserve">Explicar como bandos, hierarquias, divisão de trabalho, papéis sociais e Figuras notáveis emergem da interação de muitos agentes individuais (M04), sem que nada disso seja programado diretamente.</w:t>
      </w:r>
    </w:p>
    <w:p>
      <w:pPr>
        <w:pStyle w:val="Heading1"/>
      </w:pPr>
      <w:r>
        <w:t xml:space="preserve">2. Conceito</w:t>
      </w:r>
    </w:p>
    <w:p>
      <w:pPr>
        <w:spacing w:after="120" w:line="276"/>
      </w:pPr>
      <w:r>
        <w:t xml:space="preserve">O coletivo é uma propriedade emergente. Regras locais simples — cada indivíduo decidindo por M04 e interagindo com vizinhos — produzem estruturas globais. O sistema não tem um objeto 'hierarquia' imposto; a hierarquia é o padrão observado nas relações de dominância individuais.</w:t>
      </w:r>
    </w:p>
    <w:p>
      <w:pPr>
        <w:pBdr>
          <w:left w:val="single" w:color="8C5BAA" w:sz="18" w:space="12"/>
        </w:pBdr>
        <w:spacing w:after="160" w:before="120" w:line="276"/>
        <w:ind w:left="480"/>
      </w:pPr>
      <w:r>
        <w:rPr>
          <w:i/>
          <w:iCs/>
          <w:color w:val="44515C"/>
        </w:rPr>
        <w:t xml:space="preserve">Se altruísmo e sociabilidade médios são altos, emerge partilha e cuidado coletivo. Se agressividade e dominância são altos, emerge hierarquia de dominância. O desenvolvedor implementa as interações locais; as estruturas globais aparecem — e devem ser apenas observadas, nunca 'hardcoded'.</w:t>
      </w:r>
    </w:p>
    <w:p>
      <w:pPr>
        <w:pStyle w:val="Heading1"/>
      </w:pPr>
      <w:r>
        <w:t xml:space="preserve">3. Modelo de dados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8D2CE" w:sz="1"/>
              <w:left w:val="single" w:color="C8D2CE" w:sz="1"/>
              <w:bottom w:val="single" w:color="C8D2CE" w:sz="1"/>
              <w:right w:val="single" w:color="C8D2CE" w:sz="1"/>
            </w:tcBorders>
            <w:shd w:fill="2F6F62" w:val="clear"/>
            <w:tcMar>
              <w:top w:type="dxa" w:w="80"/>
              <w:left w:type="dxa" w:w="120"/>
              <w:bottom w:type="dxa" w:w="80"/>
              <w:right w:type="dxa" w:w="120"/>
            </w:tcMar>
          </w:tcPr>
          <w:p>
            <w:r>
              <w:rPr>
                <w:b/>
                <w:bCs/>
                <w:color w:val="FFFFFF"/>
                <w:sz w:val="20"/>
                <w:szCs w:val="20"/>
              </w:rPr>
              <w:t xml:space="preserve">Estrutura</w:t>
            </w:r>
          </w:p>
        </w:tc>
        <w:tc>
          <w:tcPr>
            <w:tcW w:type="dxa" w:w="7360"/>
            <w:tcBorders>
              <w:top w:val="single" w:color="C8D2CE" w:sz="1"/>
              <w:left w:val="single" w:color="C8D2CE" w:sz="1"/>
              <w:bottom w:val="single" w:color="C8D2CE" w:sz="1"/>
              <w:right w:val="single" w:color="C8D2CE" w:sz="1"/>
            </w:tcBorders>
            <w:shd w:fill="2F6F62" w:val="clear"/>
            <w:tcMar>
              <w:top w:type="dxa" w:w="80"/>
              <w:left w:type="dxa" w:w="120"/>
              <w:bottom w:type="dxa" w:w="80"/>
              <w:right w:type="dxa" w:w="120"/>
            </w:tcMar>
          </w:tcPr>
          <w:p>
            <w:r>
              <w:rPr>
                <w:b/>
                <w:bCs/>
                <w:color w:val="FFFFFF"/>
                <w:sz w:val="20"/>
                <w:szCs w:val="20"/>
              </w:rPr>
              <w:t xml:space="preserve">Função</w:t>
            </w:r>
          </w:p>
        </w:tc>
      </w:tr>
      <w:tr>
        <w:tc>
          <w:tcPr>
            <w:tcW w:type="dxa" w:w="20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Relação social</w:t>
            </w:r>
          </w:p>
        </w:tc>
        <w:tc>
          <w:tcPr>
            <w:tcW w:type="dxa" w:w="736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Laço entre dois indivíduos: afinidade, dominância relativa, parentesco, dívida de reciprocidade.</w:t>
            </w:r>
          </w:p>
        </w:tc>
      </w:tr>
      <w:tr>
        <w:tc>
          <w:tcPr>
            <w:tcW w:type="dxa" w:w="200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Grupo (emergente)</w:t>
            </w:r>
          </w:p>
        </w:tc>
        <w:tc>
          <w:tcPr>
            <w:tcW w:type="dxa" w:w="736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Conjunto detectado de indivíduos densamente ligados (clustering sobre as relações).</w:t>
            </w:r>
          </w:p>
        </w:tc>
      </w:tr>
      <w:tr>
        <w:tc>
          <w:tcPr>
            <w:tcW w:type="dxa" w:w="20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Papel (emergente)</w:t>
            </w:r>
          </w:p>
        </w:tc>
        <w:tc>
          <w:tcPr>
            <w:tcW w:type="dxa" w:w="736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Rótulo derivado do que o indivíduo mais faz (caçador, cuidador, líder, artesão).</w:t>
            </w:r>
          </w:p>
        </w:tc>
      </w:tr>
      <w:tr>
        <w:tc>
          <w:tcPr>
            <w:tcW w:type="dxa" w:w="200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Figura</w:t>
            </w:r>
          </w:p>
        </w:tc>
        <w:tc>
          <w:tcPr>
            <w:tcW w:type="dxa" w:w="736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Indivíduo cujo prestígio/influência ultrapassa um limiar (líder, profeta, inventor).</w:t>
            </w:r>
          </w:p>
        </w:tc>
      </w:tr>
    </w:tbl>
    <w:p>
      <w:pPr>
        <w:pStyle w:val="Heading1"/>
      </w:pPr>
      <w:r>
        <w:t xml:space="preserve">4. Regras e algoritmo</w:t>
      </w:r>
    </w:p>
    <w:p>
      <w:pPr>
        <w:pStyle w:val="Heading2"/>
      </w:pPr>
      <w:r>
        <w:t xml:space="preserve">4.1. Formação de grupos</w:t>
      </w:r>
    </w:p>
    <w:p>
      <w:pPr>
        <w:spacing w:after="120" w:line="276"/>
      </w:pPr>
      <w:r>
        <w:t xml:space="preserve">Indivíduos sociáveis aproximam-se; interações repetidas elevam afinidade; agrupamentos são detectados por densidade de laços (não definidos a priori). Grupos se fundem ou cindem conforme afinidades mudam — incluindo cisões que alimentam isolamento e especiação (M03).</w:t>
      </w:r>
    </w:p>
    <w:p>
      <w:pPr>
        <w:pStyle w:val="Heading2"/>
      </w:pPr>
      <w:r>
        <w:t xml:space="preserve">4.2. Hierarquia e dominância</w:t>
      </w:r>
    </w:p>
    <w:p>
      <w:pPr>
        <w:pBdr>
          <w:left w:val="single" w:color="2F6F62" w:sz="12" w:space="8"/>
        </w:pBdr>
        <w:shd w:fill="F3F4F1" w:val="clear"/>
        <w:spacing w:after="120" w:before="80"/>
      </w:pPr>
      <w:r>
        <w:rPr>
          <w:rFonts w:ascii="Consolas" w:cs="Consolas" w:eastAsia="Consolas" w:hAnsi="Consolas"/>
          <w:color w:val="24303A"/>
          <w:sz w:val="18"/>
          <w:szCs w:val="18"/>
        </w:rPr>
        <w:t xml:space="preserve">ao encontro entre A e B com interesse conflitante:</w:t>
      </w:r>
      <w:r>
        <w:rPr>
          <w:rFonts w:ascii="Consolas" w:cs="Consolas" w:eastAsia="Consolas" w:hAnsi="Consolas"/>
          <w:color w:val="24303A"/>
          <w:sz w:val="18"/>
          <w:szCs w:val="18"/>
        </w:rPr>
        <w:br/>
        <w:t xml:space="preserve">  resultado = compararDominancia(A, B)  // f(dominância, tamanho, aliados, prestígio)</w:t>
      </w:r>
      <w:r>
        <w:rPr>
          <w:rFonts w:ascii="Consolas" w:cs="Consolas" w:eastAsia="Consolas" w:hAnsi="Consolas"/>
          <w:color w:val="24303A"/>
          <w:sz w:val="18"/>
          <w:szCs w:val="18"/>
        </w:rPr>
        <w:br/>
        <w:t xml:space="preserve">  vencedor ganha acesso prioritário; perdedor cede e registra a relação</w:t>
      </w:r>
      <w:r>
        <w:rPr>
          <w:rFonts w:ascii="Consolas" w:cs="Consolas" w:eastAsia="Consolas" w:hAnsi="Consolas"/>
          <w:color w:val="24303A"/>
          <w:sz w:val="18"/>
          <w:szCs w:val="18"/>
        </w:rPr>
        <w:br/>
        <w:t xml:space="preserve">  // a hierarquia é a soma dessas relações, lida, não imposta</w:t>
      </w:r>
    </w:p>
    <w:p>
      <w:pPr>
        <w:pStyle w:val="Heading2"/>
      </w:pPr>
      <w:r>
        <w:t xml:space="preserve">4.3. Divisão de trabalho e papéis</w:t>
      </w:r>
    </w:p>
    <w:p>
      <w:pPr>
        <w:spacing w:after="120" w:line="276"/>
      </w:pPr>
      <w:r>
        <w:t xml:space="preserve">O papel emerge da especialização: indivíduos com traços e habilidades (M02/M01) adequados a uma tarefa a executam melhor, ganham prestígio nela e tendem a repeti-la, consolidando o papel.</w:t>
      </w:r>
    </w:p>
    <w:p>
      <w:pPr>
        <w:pStyle w:val="Heading2"/>
      </w:pPr>
      <w:r>
        <w:t xml:space="preserve">4.4. Liderança coletiva e Figuras</w:t>
      </w:r>
    </w:p>
    <w:p>
      <w:pPr>
        <w:spacing w:after="120" w:line="276"/>
      </w:pPr>
      <w:r>
        <w:t xml:space="preserve">Indivíduos com alto pendor de liderança e prestígio acumulado tornam-se Figuras: outros passam a seguir suas decisões (copiando ações, migrando junto). A morte de uma Figura é altamente consequente (handoff para M14).</w:t>
      </w:r>
    </w:p>
    <w:p>
      <w:pPr>
        <w:pStyle w:val="Heading1"/>
      </w:pPr>
      <w:r>
        <w:t xml:space="preserve">5. Causalidade</w:t>
      </w:r>
    </w:p>
    <w:p>
      <w:pPr>
        <w:pStyle w:val="ListParagraph"/>
        <w:numPr>
          <w:ilvl w:val="0"/>
          <w:numId w:val="2"/>
        </w:numPr>
        <w:spacing w:after="60" w:line="264"/>
      </w:pPr>
      <w:r>
        <w:t xml:space="preserve">Grupos: detecção determinística sobre laços construídos por interações causais.</w:t>
      </w:r>
    </w:p>
    <w:p>
      <w:pPr>
        <w:pStyle w:val="ListParagraph"/>
        <w:numPr>
          <w:ilvl w:val="0"/>
          <w:numId w:val="2"/>
        </w:numPr>
        <w:spacing w:after="60" w:line="264"/>
      </w:pPr>
      <w:r>
        <w:t xml:space="preserve">Dominância: resolvida por comparação de atributos, não por sorteio.</w:t>
      </w:r>
    </w:p>
    <w:p>
      <w:pPr>
        <w:pStyle w:val="ListParagraph"/>
        <w:numPr>
          <w:ilvl w:val="0"/>
          <w:numId w:val="2"/>
        </w:numPr>
        <w:spacing w:after="60" w:line="264"/>
      </w:pPr>
      <w:r>
        <w:t xml:space="preserve">Emergência de Figura: limiar de prestígio derivado de feitos reais, não nomeação aleatória.</w:t>
      </w:r>
    </w:p>
    <w:p>
      <w:pPr>
        <w:pStyle w:val="Heading1"/>
      </w:pPr>
      <w:r>
        <w:t xml:space="preserve">6. Parâmetros de ajuste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8D2CE" w:sz="1"/>
              <w:left w:val="single" w:color="C8D2CE" w:sz="1"/>
              <w:bottom w:val="single" w:color="C8D2CE" w:sz="1"/>
              <w:right w:val="single" w:color="C8D2CE" w:sz="1"/>
            </w:tcBorders>
            <w:shd w:fill="2F6F62" w:val="clear"/>
            <w:tcMar>
              <w:top w:type="dxa" w:w="80"/>
              <w:left w:type="dxa" w:w="120"/>
              <w:bottom w:type="dxa" w:w="80"/>
              <w:right w:type="dxa" w:w="120"/>
            </w:tcMar>
          </w:tcPr>
          <w:p>
            <w:r>
              <w:rPr>
                <w:b/>
                <w:bCs/>
                <w:color w:val="FFFFFF"/>
                <w:sz w:val="20"/>
                <w:szCs w:val="20"/>
              </w:rPr>
              <w:t xml:space="preserve">Parâmetro</w:t>
            </w:r>
          </w:p>
        </w:tc>
        <w:tc>
          <w:tcPr>
            <w:tcW w:type="dxa" w:w="6160"/>
            <w:tcBorders>
              <w:top w:val="single" w:color="C8D2CE" w:sz="1"/>
              <w:left w:val="single" w:color="C8D2CE" w:sz="1"/>
              <w:bottom w:val="single" w:color="C8D2CE" w:sz="1"/>
              <w:right w:val="single" w:color="C8D2CE" w:sz="1"/>
            </w:tcBorders>
            <w:shd w:fill="2F6F62" w:val="clear"/>
            <w:tcMar>
              <w:top w:type="dxa" w:w="80"/>
              <w:left w:type="dxa" w:w="120"/>
              <w:bottom w:type="dxa" w:w="80"/>
              <w:right w:type="dxa" w:w="120"/>
            </w:tcMar>
          </w:tcPr>
          <w:p>
            <w:r>
              <w:rPr>
                <w:b/>
                <w:bCs/>
                <w:color w:val="FFFFFF"/>
                <w:sz w:val="20"/>
                <w:szCs w:val="20"/>
              </w:rPr>
              <w:t xml:space="preserve">Efeito</w:t>
            </w:r>
          </w:p>
        </w:tc>
      </w:tr>
      <w:tr>
        <w:tc>
          <w:tcPr>
            <w:tcW w:type="dxa" w:w="32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limiar de detecção de grupo</w:t>
            </w:r>
          </w:p>
        </w:tc>
        <w:tc>
          <w:tcPr>
            <w:tcW w:type="dxa" w:w="616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Quão coeso um aglomerado precisa ser para contar como grupo.</w:t>
            </w:r>
          </w:p>
        </w:tc>
      </w:tr>
      <w:tr>
        <w:tc>
          <w:tcPr>
            <w:tcW w:type="dxa" w:w="320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limiar de prestígio para Figura</w:t>
            </w:r>
          </w:p>
        </w:tc>
        <w:tc>
          <w:tcPr>
            <w:tcW w:type="dxa" w:w="616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Frequência com que Figuras emergem.</w:t>
            </w:r>
          </w:p>
        </w:tc>
      </w:tr>
      <w:tr>
        <w:tc>
          <w:tcPr>
            <w:tcW w:type="dxa" w:w="32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taxa de reciprocidade</w:t>
            </w:r>
          </w:p>
        </w:tc>
        <w:tc>
          <w:tcPr>
            <w:tcW w:type="dxa" w:w="616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Quão fortes ficam as dívidas sociais (afeta cooperação).</w:t>
            </w:r>
          </w:p>
        </w:tc>
      </w:tr>
    </w:tbl>
    <w:p>
      <w:pPr>
        <w:pStyle w:val="Heading1"/>
      </w:pPr>
      <w:r>
        <w:t xml:space="preserve">7. Casos-limite</w:t>
      </w:r>
    </w:p>
    <w:p>
      <w:pPr>
        <w:pStyle w:val="ListParagraph"/>
        <w:numPr>
          <w:ilvl w:val="0"/>
          <w:numId w:val="2"/>
        </w:numPr>
        <w:spacing w:after="60" w:line="264"/>
      </w:pPr>
      <w:r>
        <w:t xml:space="preserve">Grupo sem líder claro: liderança coletiva distribuída (decisão pela média das intenções).</w:t>
      </w:r>
    </w:p>
    <w:p>
      <w:pPr>
        <w:pStyle w:val="ListParagraph"/>
        <w:numPr>
          <w:ilvl w:val="0"/>
          <w:numId w:val="2"/>
        </w:numPr>
        <w:spacing w:after="60" w:line="264"/>
      </w:pPr>
      <w:r>
        <w:t xml:space="preserve">Duas Figuras rivais: cisma — pode dividir o grupo (isolamento → M03).</w:t>
      </w:r>
    </w:p>
    <w:p>
      <w:pPr>
        <w:pStyle w:val="Heading1"/>
      </w:pPr>
      <w:r>
        <w:t xml:space="preserve">8. Interface com outras mecânicas</w:t>
      </w:r>
    </w:p>
    <w:p>
      <w:pPr>
        <w:pStyle w:val="ListParagraph"/>
        <w:numPr>
          <w:ilvl w:val="0"/>
          <w:numId w:val="2"/>
        </w:numPr>
        <w:spacing w:after="60" w:line="264"/>
      </w:pPr>
      <w:r>
        <w:rPr>
          <w:b/>
          <w:bCs/>
        </w:rPr>
        <w:t xml:space="preserve">M04: </w:t>
      </w:r>
      <w:r>
        <w:t xml:space="preserve">fonte das decisões individuais que se agregam.</w:t>
      </w:r>
    </w:p>
    <w:p>
      <w:pPr>
        <w:pStyle w:val="ListParagraph"/>
        <w:numPr>
          <w:ilvl w:val="0"/>
          <w:numId w:val="2"/>
        </w:numPr>
        <w:spacing w:after="60" w:line="264"/>
      </w:pPr>
      <w:r>
        <w:rPr>
          <w:b/>
          <w:bCs/>
        </w:rPr>
        <w:t xml:space="preserve">M08/M09: </w:t>
      </w:r>
      <w:r>
        <w:t xml:space="preserve">grupos estáveis são o substrato de linguagem e cultura.</w:t>
      </w:r>
    </w:p>
    <w:p>
      <w:pPr>
        <w:pStyle w:val="ListParagraph"/>
        <w:numPr>
          <w:ilvl w:val="0"/>
          <w:numId w:val="2"/>
        </w:numPr>
        <w:spacing w:after="60" w:line="264"/>
      </w:pPr>
      <w:r>
        <w:rPr>
          <w:b/>
          <w:bCs/>
        </w:rPr>
        <w:t xml:space="preserve">M12: </w:t>
      </w:r>
      <w:r>
        <w:t xml:space="preserve">Figuras são alvos preferenciais da Proteção e Inspiração do jogador.</w:t>
      </w:r>
    </w:p>
    <w:p>
      <w:pPr>
        <w:pStyle w:val="Heading1"/>
      </w:pPr>
      <w:r>
        <w:t xml:space="preserve">9. Critérios de teste</w:t>
      </w:r>
    </w:p>
    <w:p>
      <w:pPr>
        <w:pStyle w:val="ListParagraph"/>
        <w:numPr>
          <w:ilvl w:val="0"/>
          <w:numId w:val="3"/>
        </w:numPr>
        <w:spacing w:after="60" w:line="264"/>
      </w:pPr>
      <w:r>
        <w:t xml:space="preserve">População sociável forma grupos detectáveis sem código de 'criar grupo'.</w:t>
      </w:r>
    </w:p>
    <w:p>
      <w:pPr>
        <w:pStyle w:val="ListParagraph"/>
        <w:numPr>
          <w:ilvl w:val="0"/>
          <w:numId w:val="3"/>
        </w:numPr>
        <w:spacing w:after="60" w:line="264"/>
      </w:pPr>
      <w:r>
        <w:t xml:space="preserve">População dominante/agressiva produz hierarquia mensurável de acesso a recursos.</w:t>
      </w:r>
    </w:p>
    <w:p>
      <w:pPr>
        <w:pStyle w:val="ListParagraph"/>
        <w:numPr>
          <w:ilvl w:val="0"/>
          <w:numId w:val="3"/>
        </w:numPr>
        <w:spacing w:after="60" w:line="264"/>
      </w:pPr>
      <w:r>
        <w:t xml:space="preserve">Remover uma Figura altera visivelmente a trajetória do grupo.</w:t>
      </w:r>
    </w:p>
    <w:p>
      <w:pPr>
        <w:pStyle w:val="Heading1"/>
      </w:pPr>
      <w:r>
        <w:t xml:space="preserve">Checklist de verificação</w:t>
      </w:r>
    </w:p>
    <w:p>
      <w:pPr>
        <w:spacing w:after="120" w:line="276"/>
      </w:pPr>
      <w:r>
        <w:rPr>
          <w:i/>
          <w:iCs/>
          <w:color w:val="44515C"/>
        </w:rPr>
        <w:t xml:space="preserve">Marque cada item ao confirmar que está implementado e funcionando. A mecânica só é considerada concluída quando todos os grupos passam. Itens de causalidade são bloqueadores: se algum falhar, há acaso arbitrário a eliminar (GDD §1.5).</w:t>
      </w:r>
    </w:p>
    <w:p>
      <w:pPr>
        <w:pStyle w:val="Heading3"/>
      </w:pPr>
      <w:r>
        <w:t xml:space="preserve">Implementação</w:t>
      </w:r>
    </w:p>
    <w:p>
      <w:pPr>
        <w:spacing w:after="60" w:line="264"/>
        <w:ind w:left="420" w:hanging="300"/>
      </w:pPr>
      <w:r>
        <w:rPr>
          <w:rFonts w:ascii="Segoe UI Symbol" w:cs="Segoe UI Symbol" w:eastAsia="Segoe UI Symbol" w:hAnsi="Segoe UI Symbol"/>
          <w:color w:val="2F6F62"/>
          <w:sz w:val="22"/>
          <w:szCs w:val="22"/>
        </w:rPr>
        <w:t xml:space="preserve">☐  </w:t>
      </w:r>
      <w:r>
        <w:t xml:space="preserve">Relações sociais (afinidade, dominância, parentesco, reciprocidade) são mantidas entre indivíduos.</w:t>
      </w:r>
    </w:p>
    <w:p>
      <w:pPr>
        <w:spacing w:after="60" w:line="264"/>
        <w:ind w:left="420" w:hanging="300"/>
      </w:pPr>
      <w:r>
        <w:rPr>
          <w:rFonts w:ascii="Segoe UI Symbol" w:cs="Segoe UI Symbol" w:eastAsia="Segoe UI Symbol" w:hAnsi="Segoe UI Symbol"/>
          <w:color w:val="2F6F62"/>
          <w:sz w:val="22"/>
          <w:szCs w:val="22"/>
        </w:rPr>
        <w:t xml:space="preserve">☐  </w:t>
      </w:r>
      <w:r>
        <w:t xml:space="preserve">Grupos são detectados por densidade de laços, não definidos a priori.</w:t>
      </w:r>
    </w:p>
    <w:p>
      <w:pPr>
        <w:spacing w:after="60" w:line="264"/>
        <w:ind w:left="420" w:hanging="300"/>
      </w:pPr>
      <w:r>
        <w:rPr>
          <w:rFonts w:ascii="Segoe UI Symbol" w:cs="Segoe UI Symbol" w:eastAsia="Segoe UI Symbol" w:hAnsi="Segoe UI Symbol"/>
          <w:color w:val="2F6F62"/>
          <w:sz w:val="22"/>
          <w:szCs w:val="22"/>
        </w:rPr>
        <w:t xml:space="preserve">☐  </w:t>
      </w:r>
      <w:r>
        <w:t xml:space="preserve">Papéis emergem da especialização repetida; Figuras emergem por limiar de prestígio.</w:t>
      </w:r>
    </w:p>
    <w:p>
      <w:pPr>
        <w:pStyle w:val="Heading3"/>
      </w:pPr>
      <w:r>
        <w:t xml:space="preserve">Causalidade (bloqueadores)</w:t>
      </w:r>
    </w:p>
    <w:p>
      <w:pPr>
        <w:spacing w:after="60" w:line="264"/>
        <w:ind w:left="420" w:hanging="300"/>
      </w:pPr>
      <w:r>
        <w:rPr>
          <w:rFonts w:ascii="Segoe UI Symbol" w:cs="Segoe UI Symbol" w:eastAsia="Segoe UI Symbol" w:hAnsi="Segoe UI Symbol"/>
          <w:color w:val="2F6F62"/>
          <w:sz w:val="22"/>
          <w:szCs w:val="22"/>
        </w:rPr>
        <w:t xml:space="preserve">☐  </w:t>
      </w:r>
      <w:r>
        <w:t xml:space="preserve">Nenhuma hierarquia, papel ou Figura é 'hardcoded' — todos emergem de interações.</w:t>
      </w:r>
    </w:p>
    <w:p>
      <w:pPr>
        <w:spacing w:after="60" w:line="264"/>
        <w:ind w:left="420" w:hanging="300"/>
      </w:pPr>
      <w:r>
        <w:rPr>
          <w:rFonts w:ascii="Segoe UI Symbol" w:cs="Segoe UI Symbol" w:eastAsia="Segoe UI Symbol" w:hAnsi="Segoe UI Symbol"/>
          <w:color w:val="2F6F62"/>
          <w:sz w:val="22"/>
          <w:szCs w:val="22"/>
        </w:rPr>
        <w:t xml:space="preserve">☐  </w:t>
      </w:r>
      <w:r>
        <w:t xml:space="preserve">Dominância é resolvida por comparação de atributos, nunca por moeda ao ar.</w:t>
      </w:r>
    </w:p>
    <w:p>
      <w:pPr>
        <w:pStyle w:val="Heading3"/>
      </w:pPr>
      <w:r>
        <w:t xml:space="preserve">Integração</w:t>
      </w:r>
    </w:p>
    <w:p>
      <w:pPr>
        <w:spacing w:after="60" w:line="264"/>
        <w:ind w:left="420" w:hanging="300"/>
      </w:pPr>
      <w:r>
        <w:rPr>
          <w:rFonts w:ascii="Segoe UI Symbol" w:cs="Segoe UI Symbol" w:eastAsia="Segoe UI Symbol" w:hAnsi="Segoe UI Symbol"/>
          <w:color w:val="2F6F62"/>
          <w:sz w:val="22"/>
          <w:szCs w:val="22"/>
        </w:rPr>
        <w:t xml:space="preserve">☐  </w:t>
      </w:r>
      <w:r>
        <w:t xml:space="preserve">Médias de traço de M02 mudam o tipo de estrutura que emerge (coesa vs. de dominância).</w:t>
      </w:r>
    </w:p>
    <w:p>
      <w:pPr>
        <w:spacing w:after="60" w:line="264"/>
        <w:ind w:left="420" w:hanging="300"/>
      </w:pPr>
      <w:r>
        <w:rPr>
          <w:rFonts w:ascii="Segoe UI Symbol" w:cs="Segoe UI Symbol" w:eastAsia="Segoe UI Symbol" w:hAnsi="Segoe UI Symbol"/>
          <w:color w:val="2F6F62"/>
          <w:sz w:val="22"/>
          <w:szCs w:val="22"/>
        </w:rPr>
        <w:t xml:space="preserve">☐  </w:t>
      </w:r>
      <w:r>
        <w:t xml:space="preserve">Cisões de grupo alimentam isolamento em M03.</w:t>
      </w:r>
    </w:p>
    <w:p>
      <w:pPr>
        <w:spacing w:after="60" w:line="264"/>
        <w:ind w:left="420" w:hanging="300"/>
      </w:pPr>
      <w:r>
        <w:rPr>
          <w:rFonts w:ascii="Segoe UI Symbol" w:cs="Segoe UI Symbol" w:eastAsia="Segoe UI Symbol" w:hAnsi="Segoe UI Symbol"/>
          <w:color w:val="2F6F62"/>
          <w:sz w:val="22"/>
          <w:szCs w:val="22"/>
        </w:rPr>
        <w:t xml:space="preserve">☐  </w:t>
      </w:r>
      <w:r>
        <w:t xml:space="preserve">Figuras ficam disponíveis como alvo para M12 e gatilho para M14.</w:t>
      </w:r>
    </w:p>
    <w:p>
      <w:pPr>
        <w:pStyle w:val="Heading3"/>
      </w:pPr>
      <w:r>
        <w:t xml:space="preserve">Robustez</w:t>
      </w:r>
    </w:p>
    <w:p>
      <w:pPr>
        <w:spacing w:after="60" w:line="264"/>
        <w:ind w:left="420" w:hanging="300"/>
      </w:pPr>
      <w:r>
        <w:rPr>
          <w:rFonts w:ascii="Segoe UI Symbol" w:cs="Segoe UI Symbol" w:eastAsia="Segoe UI Symbol" w:hAnsi="Segoe UI Symbol"/>
          <w:color w:val="2F6F62"/>
          <w:sz w:val="22"/>
          <w:szCs w:val="22"/>
        </w:rPr>
        <w:t xml:space="preserve">☐  </w:t>
      </w:r>
      <w:r>
        <w:t xml:space="preserve">Grupo sem líder opera por liderança distribuída sem travar.</w:t>
      </w:r>
    </w:p>
    <w:p>
      <w:pPr>
        <w:spacing w:after="60" w:line="264"/>
        <w:ind w:left="420" w:hanging="300"/>
      </w:pPr>
      <w:r>
        <w:rPr>
          <w:rFonts w:ascii="Segoe UI Symbol" w:cs="Segoe UI Symbol" w:eastAsia="Segoe UI Symbol" w:hAnsi="Segoe UI Symbol"/>
          <w:color w:val="2F6F62"/>
          <w:sz w:val="22"/>
          <w:szCs w:val="22"/>
        </w:rPr>
        <w:t xml:space="preserve">☐  </w:t>
      </w:r>
      <w:r>
        <w:t xml:space="preserve">Figuras rivais geram cisma controlado, não loop infinito.</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AA6B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D2CE" w:sz="4" w:space="4"/>
      </w:pBdr>
      <w:jc w:val="right"/>
    </w:pPr>
    <w:r>
      <w:rPr>
        <w:color w:val="9AA6B0"/>
        <w:sz w:val="16"/>
        <w:szCs w:val="16"/>
      </w:rPr>
      <w:t xml:space="preserve">GÊNESE · M05 Comportamento Coletivo Emergente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3303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F6F62" w:sz="8" w:space="6"/>
      </w:pBdr>
      <w:spacing w:after="140" w:before="300"/>
      <w:outlineLvl w:val="0"/>
    </w:pPr>
    <w:rPr>
      <w:rFonts w:ascii="Calibri" w:cs="Calibri" w:eastAsia="Calibri" w:hAnsi="Calibri"/>
      <w:b/>
      <w:bCs/>
      <w:color w:val="2F6F62"/>
      <w:sz w:val="32"/>
      <w:szCs w:val="32"/>
    </w:rPr>
  </w:style>
  <w:style w:type="paragraph" w:styleId="Heading2">
    <w:name w:val="Heading 2"/>
    <w:basedOn w:val="Normal"/>
    <w:next w:val="Normal"/>
    <w:qFormat/>
    <w:pPr>
      <w:spacing w:after="110" w:before="220"/>
      <w:outlineLvl w:val="1"/>
    </w:pPr>
    <w:rPr>
      <w:rFonts w:ascii="Calibri" w:cs="Calibri" w:eastAsia="Calibri" w:hAnsi="Calibri"/>
      <w:b/>
      <w:bCs/>
      <w:color w:val="1F2933"/>
      <w:sz w:val="26"/>
      <w:szCs w:val="26"/>
    </w:rPr>
  </w:style>
  <w:style w:type="paragraph" w:styleId="Heading3">
    <w:name w:val="Heading 3"/>
    <w:basedOn w:val="Normal"/>
    <w:next w:val="Normal"/>
    <w:qFormat/>
    <w:pPr>
      <w:spacing w:after="70" w:before="150"/>
      <w:outlineLvl w:val="2"/>
    </w:pPr>
    <w:rPr>
      <w:rFonts w:ascii="Calibri" w:cs="Calibri" w:eastAsia="Calibri" w:hAnsi="Calibri"/>
      <w:b/>
      <w:bCs/>
      <w:color w:val="8C5BA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M05 — Comportamento Coletivo Emergente</dc:title>
  <dc:creator>Equipe Gênese</dc:creator>
  <cp:lastModifiedBy>Un-named</cp:lastModifiedBy>
  <cp:revision>1</cp:revision>
  <dcterms:created xsi:type="dcterms:W3CDTF">2026-06-01T02:26:17.828Z</dcterms:created>
  <dcterms:modified xsi:type="dcterms:W3CDTF">2026-06-01T02:26:17.828Z</dcterms:modified>
</cp:coreProperties>
</file>

<file path=docProps/custom.xml><?xml version="1.0" encoding="utf-8"?>
<Properties xmlns="http://schemas.openxmlformats.org/officeDocument/2006/custom-properties" xmlns:vt="http://schemas.openxmlformats.org/officeDocument/2006/docPropsVTypes"/>
</file>