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E06</w:t>
      </w:r>
    </w:p>
    <w:p>
      <w:pPr>
        <w:spacing w:after="40"/>
        <w:jc w:val="center"/>
      </w:pPr>
      <w:r>
        <w:rPr>
          <w:b/>
          <w:bCs/>
          <w:color w:val="2F6F62"/>
          <w:sz w:val="60"/>
          <w:szCs w:val="60"/>
        </w:rPr>
        <w:t xml:space="preserve">Mutação, Especiação e Escala</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Implementação de M03 + LOD de simulação para mobile</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E06</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E02; E03; E04; E05</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E08; E09</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§3.2; §6.3; §10</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 e pré-requisitos</w:t>
      </w:r>
    </w:p>
    <w:p>
      <w:pPr>
        <w:spacing w:after="120" w:line="276"/>
      </w:pPr>
      <w:r>
        <w:t xml:space="preserve">Fechar o motor evolutivo (M03: mutação causal, distância genética, especiação) E resolver a restrição crítica de plataforma: escala adaptativa / LOD de simulação para caber no Android (Roadmap §2.3). Pré-requisitos: E02, E03, E04, E05. Referência: M03.</w:t>
      </w:r>
    </w:p>
    <w:p>
      <w:pPr>
        <w:pStyle w:val="Heading1"/>
      </w:pPr>
      <w:r>
        <w:t xml:space="preserve">2. Especificação detalhada</w:t>
      </w:r>
    </w:p>
    <w:p>
      <w:pPr>
        <w:pStyle w:val="Heading2"/>
      </w:pPr>
      <w:r>
        <w:t xml:space="preserve">2.1. Mutação e distância genética</w:t>
      </w:r>
    </w:p>
    <w:p>
      <w:pPr>
        <w:spacing w:after="120" w:line="276"/>
      </w:pPr>
      <w:r>
        <w:t xml:space="preserve">Implementa M03 §4: taxa de mutação derivada de ambiente×genoma×tamanho de população; matriz de distância genética por par de populações; limiares de viabilidade/fertilidade de híbridos.</w:t>
      </w:r>
    </w:p>
    <w:p>
      <w:pPr>
        <w:pStyle w:val="Heading2"/>
      </w:pPr>
      <w:r>
        <w:t xml:space="preserve">2.2. Especiação</w:t>
      </w:r>
    </w:p>
    <w:p>
      <w:pPr>
        <w:spacing w:after="120" w:line="276"/>
      </w:pPr>
      <w:r>
        <w:t xml:space="preserve">Quando a distância cruza o limiar de fertilidade, registra-se cisão de linhagem (novo LinhagemId). Isolamento vem de geografia (E03), comportamento ou cultura (E07). Tudo rastreável para a Crônica (E09).</w:t>
      </w:r>
    </w:p>
    <w:p>
      <w:pPr>
        <w:pStyle w:val="Heading2"/>
      </w:pPr>
      <w:r>
        <w:t xml:space="preserve">2.3. LOD de simulação (a peça que viabiliza o mobile)</w:t>
      </w:r>
    </w:p>
    <w:p>
      <w:pPr>
        <w:spacing w:after="120" w:line="276"/>
      </w:pPr>
      <w:r>
        <w:t xml:space="preserve">Nem todo agente é simulado com profundidade total a cada tick. Três níveis de detalhe: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60"/>
        <w:gridCol w:w="4400"/>
      </w:tblGrid>
      <w:tr>
        <w:trPr>
          <w:tblHeader/>
        </w:trPr>
        <w:tc>
          <w:tcPr>
            <w:tcW w:type="dxa" w:w="15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Nível</w:t>
            </w:r>
          </w:p>
        </w:tc>
        <w:tc>
          <w:tcPr>
            <w:tcW w:type="dxa" w:w="34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Quando</w:t>
            </w:r>
          </w:p>
        </w:tc>
        <w:tc>
          <w:tcPr>
            <w:tcW w:type="dxa" w:w="44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 que roda</w:t>
            </w:r>
          </w:p>
        </w:tc>
      </w:tr>
      <w:tr>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Pleno</w:t>
            </w:r>
          </w:p>
        </w:tc>
        <w:tc>
          <w:tcPr>
            <w:tcW w:type="dxa" w:w="34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Região em foco do jogador / pequena população</w:t>
            </w:r>
          </w:p>
        </w:tc>
        <w:tc>
          <w:tcPr>
            <w:tcW w:type="dxa" w:w="4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M02/M04/M05 completos por tick.</w:t>
            </w:r>
          </w:p>
        </w:tc>
      </w:tr>
      <w:tr>
        <w:tc>
          <w:tcPr>
            <w:tcW w:type="dxa" w:w="15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Agregado</w:t>
            </w:r>
          </w:p>
        </w:tc>
        <w:tc>
          <w:tcPr>
            <w:tcW w:type="dxa" w:w="34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Regiões fora de foco</w:t>
            </w:r>
          </w:p>
        </w:tc>
        <w:tc>
          <w:tcPr>
            <w:tcW w:type="dxa" w:w="4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Estatísticas de população evoluem por modelo agregado; sem agentes individuais por tick.</w:t>
            </w:r>
          </w:p>
        </w:tc>
      </w:tr>
      <w:tr>
        <w:tc>
          <w:tcPr>
            <w:tcW w:type="dxa" w:w="15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Dormente</w:t>
            </w:r>
          </w:p>
        </w:tc>
        <w:tc>
          <w:tcPr>
            <w:tcW w:type="dxa" w:w="34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Regiões muito distantes/irrelevantes</w:t>
            </w:r>
          </w:p>
        </w:tc>
        <w:tc>
          <w:tcPr>
            <w:tcW w:type="dxa" w:w="4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Atualização rara, só tendências de longo prazo.</w:t>
            </w:r>
          </w:p>
        </w:tc>
      </w:tr>
    </w:tbl>
    <w:p>
      <w:pPr>
        <w:spacing w:after="120" w:line="276"/>
      </w:pPr>
      <w:r>
        <w:t xml:space="preserve">A transição entre níveis é determinística (baseada em foco, tamanho e distância), e a passagem agregado→pleno reidrata agentes a partir das estatísticas de forma reproduzível. Este é o mecanismo central de performance do projeto.</w:t>
      </w:r>
    </w:p>
    <w:p>
      <w:pPr>
        <w:pStyle w:val="Heading1"/>
      </w:pPr>
      <w:r>
        <w:t xml:space="preserve">3. Trechos de código-chave</w:t>
      </w:r>
    </w:p>
    <w:p>
      <w:pPr>
        <w:pStyle w:val="Heading3"/>
      </w:pPr>
      <w:r>
        <w:t xml:space="preserve">3.1. Taxa de mutação causal (M03 §4.1)</w:t>
      </w:r>
    </w:p>
    <w:p>
      <w:pPr>
        <w:pBdr>
          <w:left w:val="single" w:color="2F6F62" w:sz="12" w:space="8"/>
        </w:pBdr>
        <w:shd w:fill="F3F4F1" w:val="clear"/>
        <w:spacing w:after="120" w:before="80"/>
      </w:pPr>
      <w:r>
        <w:rPr>
          <w:rFonts w:ascii="Consolas" w:cs="Consolas" w:eastAsia="Consolas" w:hAnsi="Consolas"/>
          <w:color w:val="24303A"/>
          <w:sz w:val="18"/>
          <w:szCs w:val="18"/>
        </w:rPr>
        <w:t xml:space="preserve">float TaxaMutacao(in Gene g, in Populacao pop, in Ambiente amb) =&gt;</w:t>
        <w:br/>
        <w:t xml:space="preserve">    g.TaxaMutBase * pop.FatorMutacaoMedio * amb.PressaoMutagenica(pop.Regiao)</w:t>
        <w:br/>
        <w:t xml:space="preserve">                  * FatorTamanho(pop.N); // pop pequena fixa mutações mais rápido</w:t>
      </w:r>
    </w:p>
    <w:p>
      <w:pPr>
        <w:pStyle w:val="Heading3"/>
      </w:pPr>
      <w:r>
        <w:t xml:space="preserve">3.2. Atualização de distância e especiação</w:t>
      </w:r>
    </w:p>
    <w:p>
      <w:pPr>
        <w:pBdr>
          <w:left w:val="single" w:color="2F6F62" w:sz="12" w:space="8"/>
        </w:pBdr>
        <w:shd w:fill="F3F4F1" w:val="clear"/>
        <w:spacing w:after="120" w:before="80"/>
      </w:pPr>
      <w:r>
        <w:rPr>
          <w:rFonts w:ascii="Consolas" w:cs="Consolas" w:eastAsia="Consolas" w:hAnsi="Consolas"/>
          <w:color w:val="24303A"/>
          <w:sz w:val="18"/>
          <w:szCs w:val="18"/>
        </w:rPr>
        <w:t xml:space="preserve">foreach (var (P,Q) in ParesDePopulacoes()) {</w:t>
        <w:br/>
        <w:t xml:space="preserve">    if (FluxoGenico(P,Q) &gt; 0) Dist[P,Q] -= Mistura(P,Q);</w:t>
        <w:br/>
        <w:t xml:space="preserve">    else Dist[P,Q] += Divergencia(P,Q); // f(mutação, ΔpressãoSeletiva, deriva)</w:t>
        <w:br/>
        <w:t xml:space="preserve">    if (Dist[P,Q] &gt;= LIMIAR_FERTIL) RegistrarEspeciacao(P,Q);</w:t>
        <w:br/>
        <w:t xml:space="preserve">}</w:t>
      </w:r>
    </w:p>
    <w:p>
      <w:pPr>
        <w:pStyle w:val="Heading1"/>
      </w:pPr>
      <w:r>
        <w:t xml:space="preserve">4. Plano de testes</w:t>
      </w:r>
    </w:p>
    <w:p>
      <w:pPr>
        <w:pStyle w:val="ListParagraph"/>
        <w:numPr>
          <w:ilvl w:val="0"/>
          <w:numId w:val="2"/>
        </w:numPr>
        <w:spacing w:after="60" w:line="264"/>
      </w:pPr>
      <w:r>
        <w:rPr>
          <w:b/>
          <w:bCs/>
        </w:rPr>
        <w:t xml:space="preserve">Especiação reprodutível: </w:t>
      </w:r>
      <w:r>
        <w:t xml:space="preserve">populações isoladas com nichos diferentes especiam; religar antes do limiar funde de volta.</w:t>
      </w:r>
    </w:p>
    <w:p>
      <w:pPr>
        <w:pStyle w:val="ListParagraph"/>
        <w:numPr>
          <w:ilvl w:val="0"/>
          <w:numId w:val="2"/>
        </w:numPr>
        <w:spacing w:after="60" w:line="264"/>
      </w:pPr>
      <w:r>
        <w:rPr>
          <w:b/>
          <w:bCs/>
        </w:rPr>
        <w:t xml:space="preserve">Deriva: </w:t>
      </w:r>
      <w:r>
        <w:t xml:space="preserve">populações pequenas divergem mais rápido, mensuravelmente.</w:t>
      </w:r>
    </w:p>
    <w:p>
      <w:pPr>
        <w:pStyle w:val="ListParagraph"/>
        <w:numPr>
          <w:ilvl w:val="0"/>
          <w:numId w:val="2"/>
        </w:numPr>
        <w:spacing w:after="60" w:line="264"/>
      </w:pPr>
      <w:r>
        <w:rPr>
          <w:b/>
          <w:bCs/>
        </w:rPr>
        <w:t xml:space="preserve">LOD round-trip: </w:t>
      </w:r>
      <w:r>
        <w:t xml:space="preserve">agregar e reidratar uma região preserva as estatísticas-chave dentro de tolerância definida e de forma determinística.</w:t>
      </w:r>
    </w:p>
    <w:p>
      <w:pPr>
        <w:pStyle w:val="ListParagraph"/>
        <w:numPr>
          <w:ilvl w:val="0"/>
          <w:numId w:val="2"/>
        </w:numPr>
        <w:spacing w:after="60" w:line="264"/>
      </w:pPr>
      <w:r>
        <w:rPr>
          <w:b/>
          <w:bCs/>
        </w:rPr>
        <w:t xml:space="preserve">Paridade pleno×agregado: </w:t>
      </w:r>
      <w:r>
        <w:t xml:space="preserve">em testes longos, a evolução agregada não diverge significativamente da plena para a mesma região.</w:t>
      </w:r>
    </w:p>
    <w:p>
      <w:pPr>
        <w:pStyle w:val="Heading1"/>
      </w:pPr>
      <w:r>
        <w:t xml:space="preserve">5. Resultado esperado</w:t>
      </w:r>
    </w:p>
    <w:p>
      <w:pPr>
        <w:pStyle w:val="ListParagraph"/>
        <w:numPr>
          <w:ilvl w:val="0"/>
          <w:numId w:val="2"/>
        </w:numPr>
        <w:spacing w:after="60" w:line="264"/>
      </w:pPr>
      <w:r>
        <w:t xml:space="preserve">Evolução real e especiação observáveis; e a simulação cabendo no orçamento do mobile via LOD.</w:t>
      </w:r>
    </w:p>
    <w:p>
      <w:pPr>
        <w:spacing w:after="120" w:line="276"/>
      </w:pPr>
      <w:r>
        <w:rPr>
          <w:b/>
          <w:bCs/>
        </w:rPr>
        <w:t xml:space="preserve">Marco M-B (vertical slice da emergência) </w:t>
      </w:r>
      <w:r>
        <w:t xml:space="preserve">é atingido ao fim desta etapa: comportamento coletivo + especiação emergem e respondem à influência, em escopo pequeno.</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Taxa de mutação causal, matriz de distância genética e os dois limiares de híbridos.</w:t>
      </w:r>
    </w:p>
    <w:p>
      <w:pPr>
        <w:spacing w:after="60" w:line="264"/>
        <w:ind w:left="420" w:hanging="300"/>
      </w:pPr>
      <w:r>
        <w:rPr>
          <w:rFonts w:ascii="Segoe UI Symbol" w:cs="Segoe UI Symbol" w:eastAsia="Segoe UI Symbol" w:hAnsi="Segoe UI Symbol"/>
          <w:color w:val="2F6F62"/>
          <w:sz w:val="22"/>
          <w:szCs w:val="22"/>
        </w:rPr>
        <w:t xml:space="preserve">☐  </w:t>
      </w:r>
      <w:r>
        <w:t xml:space="preserve">Cisão de linhagem registrada ao cruzar o limiar de fertilidade.</w:t>
      </w:r>
    </w:p>
    <w:p>
      <w:pPr>
        <w:spacing w:after="60" w:line="264"/>
        <w:ind w:left="420" w:hanging="300"/>
      </w:pPr>
      <w:r>
        <w:rPr>
          <w:rFonts w:ascii="Segoe UI Symbol" w:cs="Segoe UI Symbol" w:eastAsia="Segoe UI Symbol" w:hAnsi="Segoe UI Symbol"/>
          <w:color w:val="2F6F62"/>
          <w:sz w:val="22"/>
          <w:szCs w:val="22"/>
        </w:rPr>
        <w:t xml:space="preserve">☐  </w:t>
      </w:r>
      <w:r>
        <w:t xml:space="preserve">LOD de simulação com níveis Pleno/Agregado/Dormente e transições determinísticas.</w:t>
      </w:r>
    </w:p>
    <w:p>
      <w:pPr>
        <w:pStyle w:val="Heading3"/>
      </w:pPr>
      <w:r>
        <w:t xml:space="preserve">Causalidade (bloqueadores)</w:t>
      </w:r>
    </w:p>
    <w:p>
      <w:pPr>
        <w:spacing w:after="60" w:line="264"/>
        <w:ind w:left="420" w:hanging="300"/>
      </w:pPr>
      <w:r>
        <w:rPr>
          <w:rFonts w:ascii="Segoe UI Symbol" w:cs="Segoe UI Symbol" w:eastAsia="Segoe UI Symbol" w:hAnsi="Segoe UI Symbol"/>
          <w:color w:val="2F6F62"/>
          <w:sz w:val="22"/>
          <w:szCs w:val="22"/>
        </w:rPr>
        <w:t xml:space="preserve">☐  </w:t>
      </w:r>
      <w:r>
        <w:t xml:space="preserve">Taxa de mutação deriva de ambiente×genoma×tamanho, sem constante mágica.</w:t>
      </w:r>
    </w:p>
    <w:p>
      <w:pPr>
        <w:spacing w:after="60" w:line="264"/>
        <w:ind w:left="420" w:hanging="300"/>
      </w:pPr>
      <w:r>
        <w:rPr>
          <w:rFonts w:ascii="Segoe UI Symbol" w:cs="Segoe UI Symbol" w:eastAsia="Segoe UI Symbol" w:hAnsi="Segoe UI Symbol"/>
          <w:color w:val="2F6F62"/>
          <w:sz w:val="22"/>
          <w:szCs w:val="22"/>
        </w:rPr>
        <w:t xml:space="preserve">☐  </w:t>
      </w:r>
      <w:r>
        <w:t xml:space="preserve">Variância da deriva escala com 1/N; sobrevivência de mutação decidida por aptidão.</w:t>
      </w:r>
    </w:p>
    <w:p>
      <w:pPr>
        <w:spacing w:after="60" w:line="264"/>
        <w:ind w:left="420" w:hanging="300"/>
      </w:pPr>
      <w:r>
        <w:rPr>
          <w:rFonts w:ascii="Segoe UI Symbol" w:cs="Segoe UI Symbol" w:eastAsia="Segoe UI Symbol" w:hAnsi="Segoe UI Symbol"/>
          <w:color w:val="2F6F62"/>
          <w:sz w:val="22"/>
          <w:szCs w:val="22"/>
        </w:rPr>
        <w:t xml:space="preserve">☐  </w:t>
      </w:r>
      <w:r>
        <w:t xml:space="preserve">Transições de LOD e reidratação são determinísticas (reprodutíveis com semente).</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Isolamento de E03/E05/E07 alimenta divergência; especiações vão à Crônica (E09).</w:t>
      </w:r>
    </w:p>
    <w:p>
      <w:pPr>
        <w:spacing w:after="60" w:line="264"/>
        <w:ind w:left="420" w:hanging="300"/>
      </w:pPr>
      <w:r>
        <w:rPr>
          <w:rFonts w:ascii="Segoe UI Symbol" w:cs="Segoe UI Symbol" w:eastAsia="Segoe UI Symbol" w:hAnsi="Segoe UI Symbol"/>
          <w:color w:val="2F6F62"/>
          <w:sz w:val="22"/>
          <w:szCs w:val="22"/>
        </w:rPr>
        <w:t xml:space="preserve">☐  </w:t>
      </w:r>
      <w:r>
        <w:t xml:space="preserve">Múltiplas linhagens prontas para virarem civilizações distintas (E08).</w:t>
      </w:r>
    </w:p>
    <w:p>
      <w:pPr>
        <w:pStyle w:val="Heading3"/>
      </w:pPr>
      <w:r>
        <w:t xml:space="preserve">Performance</w:t>
      </w:r>
    </w:p>
    <w:p>
      <w:pPr>
        <w:spacing w:after="60" w:line="264"/>
        <w:ind w:left="420" w:hanging="300"/>
      </w:pPr>
      <w:r>
        <w:rPr>
          <w:rFonts w:ascii="Segoe UI Symbol" w:cs="Segoe UI Symbol" w:eastAsia="Segoe UI Symbol" w:hAnsi="Segoe UI Symbol"/>
          <w:color w:val="2F6F62"/>
          <w:sz w:val="22"/>
          <w:szCs w:val="22"/>
        </w:rPr>
        <w:t xml:space="preserve">☐  </w:t>
      </w:r>
      <w:r>
        <w:t xml:space="preserve">Com LOD ativo, a simulação atinge o alvo de agentes no hardware Android de referência.</w:t>
      </w:r>
    </w:p>
    <w:p>
      <w:pPr>
        <w:spacing w:after="60" w:line="264"/>
        <w:ind w:left="420" w:hanging="300"/>
      </w:pPr>
      <w:r>
        <w:rPr>
          <w:rFonts w:ascii="Segoe UI Symbol" w:cs="Segoe UI Symbol" w:eastAsia="Segoe UI Symbol" w:hAnsi="Segoe UI Symbol"/>
          <w:color w:val="2F6F62"/>
          <w:sz w:val="22"/>
          <w:szCs w:val="22"/>
        </w:rPr>
        <w:t xml:space="preserve">☐  </w:t>
      </w:r>
      <w:r>
        <w:t xml:space="preserve">Evolução agregada não diverge da plena além da tolerância definida.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E06 Mutação, Especiação e Escala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E06 — Mutação, Especiação e Escala</dc:title>
  <dc:creator>Equipe Gênese</dc:creator>
  <cp:lastModifiedBy>Un-named</cp:lastModifiedBy>
  <cp:revision>1</cp:revision>
  <dcterms:created xsi:type="dcterms:W3CDTF">2026-06-01T02:42:29.278Z</dcterms:created>
  <dcterms:modified xsi:type="dcterms:W3CDTF">2026-06-01T02:42:29.278Z</dcterms:modified>
</cp:coreProperties>
</file>

<file path=docProps/custom.xml><?xml version="1.0" encoding="utf-8"?>
<Properties xmlns="http://schemas.openxmlformats.org/officeDocument/2006/custom-properties" xmlns:vt="http://schemas.openxmlformats.org/officeDocument/2006/docPropsVTypes"/>
</file>