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400"/>
        <w:jc w:val="center"/>
      </w:pPr>
      <w:r>
        <w:rPr>
          <w:b/>
          <w:bCs/>
          <w:color w:val="8C5BAA"/>
          <w:sz w:val="40"/>
          <w:szCs w:val="40"/>
        </w:rPr>
        <w:t xml:space="preserve">E07</w:t>
      </w:r>
    </w:p>
    <w:p>
      <w:pPr>
        <w:spacing w:after="40"/>
        <w:jc w:val="center"/>
      </w:pPr>
      <w:r>
        <w:rPr>
          <w:b/>
          <w:bCs/>
          <w:color w:val="2F6F62"/>
          <w:sz w:val="60"/>
          <w:szCs w:val="60"/>
        </w:rPr>
        <w:t xml:space="preserve">Camada Simbólica</w:t>
      </w:r>
    </w:p>
    <w:p>
      <w:pPr>
        <w:spacing w:after="60"/>
        <w:jc w:val="center"/>
      </w:pPr>
      <w:r>
        <w:rPr>
          <w:color w:val="7A8691"/>
          <w:sz w:val="24"/>
          <w:szCs w:val="24"/>
        </w:rPr>
        <w:t xml:space="preserve">Documento de Mecânica — Gênese</w:t>
      </w:r>
    </w:p>
    <w:p>
      <w:pPr>
        <w:spacing w:after="400"/>
        <w:jc w:val="center"/>
      </w:pPr>
      <w:r>
        <w:rPr>
          <w:i/>
          <w:iCs/>
          <w:color w:val="7A8691"/>
          <w:sz w:val="22"/>
          <w:szCs w:val="22"/>
        </w:rPr>
        <w:t xml:space="preserve">Implementação de M08/M09/M10: linguagem, cultura e religião</w:t>
      </w:r>
    </w:p>
    <w:p>
      <w:pPr>
        <w:spacing w:after="120" w:line="276"/>
      </w:pPr>
      <w:r>
        <w:rPr>
          <w:b/>
          <w:bCs/>
          <w:color w:val="2F6F62"/>
          <w:sz w:val="24"/>
          <w:szCs w:val="24"/>
        </w:rPr>
        <w:t xml:space="preserve">Metadados e dependências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8D2CE" w:sz="1"/>
              <w:left w:val="single" w:color="C8D2CE" w:sz="1"/>
              <w:bottom w:val="single" w:color="C8D2CE" w:sz="1"/>
              <w:right w:val="single" w:color="C8D2CE" w:sz="1"/>
            </w:tcBorders>
            <w:shd w:fill="8C5BAA" w:val="clear"/>
            <w:tcMar>
              <w:top w:type="dxa" w:w="80"/>
              <w:left w:type="dxa" w:w="120"/>
              <w:bottom w:type="dxa" w:w="80"/>
              <w:right w:type="dxa" w:w="120"/>
            </w:tcMar>
          </w:tcPr>
          <w:p>
            <w:r>
              <w:rPr>
                <w:b/>
                <w:bCs/>
                <w:color w:val="FFFFFF"/>
                <w:sz w:val="20"/>
                <w:szCs w:val="20"/>
              </w:rPr>
              <w:t xml:space="preserve">Campo</w:t>
            </w:r>
          </w:p>
        </w:tc>
        <w:tc>
          <w:tcPr>
            <w:tcW w:type="dxa" w:w="6960"/>
            <w:tcBorders>
              <w:top w:val="single" w:color="C8D2CE" w:sz="1"/>
              <w:left w:val="single" w:color="C8D2CE" w:sz="1"/>
              <w:bottom w:val="single" w:color="C8D2CE" w:sz="1"/>
              <w:right w:val="single" w:color="C8D2CE" w:sz="1"/>
            </w:tcBorders>
            <w:shd w:fill="8C5BAA" w:val="clear"/>
            <w:tcMar>
              <w:top w:type="dxa" w:w="80"/>
              <w:left w:type="dxa" w:w="120"/>
              <w:bottom w:type="dxa" w:w="80"/>
              <w:right w:type="dxa" w:w="120"/>
            </w:tcMar>
          </w:tcPr>
          <w:p>
            <w:r>
              <w:rPr>
                <w:b/>
                <w:bCs/>
                <w:color w:val="FFFFFF"/>
                <w:sz w:val="20"/>
                <w:szCs w:val="20"/>
              </w:rPr>
              <w:t xml:space="preserve">Valor</w:t>
            </w:r>
          </w:p>
        </w:tc>
      </w:tr>
      <w:tr>
        <w:tc>
          <w:tcPr>
            <w:tcW w:type="dxa" w:w="24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Identificador</w:t>
            </w:r>
          </w:p>
        </w:tc>
        <w:tc>
          <w:tcPr>
            <w:tcW w:type="dxa" w:w="69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E07</w:t>
            </w:r>
          </w:p>
        </w:tc>
      </w:tr>
      <w:tr>
        <w:tc>
          <w:tcPr>
            <w:tcW w:type="dxa" w:w="24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Versão</w:t>
            </w:r>
          </w:p>
        </w:tc>
        <w:tc>
          <w:tcPr>
            <w:tcW w:type="dxa" w:w="69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0.1</w:t>
            </w:r>
          </w:p>
        </w:tc>
      </w:tr>
      <w:tr>
        <w:tc>
          <w:tcPr>
            <w:tcW w:type="dxa" w:w="24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Depende de</w:t>
            </w:r>
          </w:p>
        </w:tc>
        <w:tc>
          <w:tcPr>
            <w:tcW w:type="dxa" w:w="69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E05; E06</w:t>
            </w:r>
          </w:p>
        </w:tc>
      </w:tr>
      <w:tr>
        <w:tc>
          <w:tcPr>
            <w:tcW w:type="dxa" w:w="24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Alimenta / é usada por</w:t>
            </w:r>
          </w:p>
        </w:tc>
        <w:tc>
          <w:tcPr>
            <w:tcW w:type="dxa" w:w="69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E08; E09</w:t>
            </w:r>
          </w:p>
        </w:tc>
      </w:tr>
      <w:tr>
        <w:tc>
          <w:tcPr>
            <w:tcW w:type="dxa" w:w="24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Referência no GDD</w:t>
            </w:r>
          </w:p>
        </w:tc>
        <w:tc>
          <w:tcPr>
            <w:tcW w:type="dxa" w:w="69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§3.5; §3.7; §3.8</w:t>
            </w:r>
          </w:p>
        </w:tc>
      </w:tr>
    </w:tbl>
    <w:p>
      <w:pPr>
        <w:spacing w:before="160"/>
      </w:pPr>
      <w:r>
        <w:rPr>
          <w:b/>
          <w:bCs/>
          <w:color w:val="8C5BAA"/>
        </w:rPr>
        <w:t xml:space="preserve">Princípio de causalidade (vale para todo o documento): </w:t>
      </w:r>
      <w:r>
        <w:rPr>
          <w:i/>
          <w:iCs/>
        </w:rPr>
        <w:t xml:space="preserve">nenhum número aleatório é consultado sem que sua distribuição derive do estado do mundo. Não há 'evento aleatório', só 'resultado incerto de causas conhecidas' (GDD §1.5). Toda subseção 'Causalidade' abaixo declara de onde vêm as probabilidades.</w:t>
      </w:r>
    </w:p>
    <w:p>
      <w:r>
        <w:br w:type="page"/>
      </w:r>
    </w:p>
    <w:p>
      <w:pPr>
        <w:pStyle w:val="Heading1"/>
      </w:pPr>
      <w:r>
        <w:t xml:space="preserve">Índice</w:t>
      </w:r>
    </w:p>
    <w:sdt>
      <w:sdtPr>
        <w:alias w:val="Sumário"/>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Objetivo e pré-requisitos</w:t>
      </w:r>
    </w:p>
    <w:p>
      <w:pPr>
        <w:spacing w:after="120" w:line="276"/>
      </w:pPr>
      <w:r>
        <w:t xml:space="preserve">Construir a camada simbólica: M08 (Comunicação e Linguagem), M09 (Cultura) e M10 (Religião). É onde nascem idioma procedural, memes, tabus, mitos e a imagem do jogador. Pré-requisitos: E05 (grupos como veículo), E06 (linhagens). Referências: M08, M09, M10.</w:t>
      </w:r>
    </w:p>
    <w:p>
      <w:pPr>
        <w:pStyle w:val="Heading1"/>
      </w:pPr>
      <w:r>
        <w:t xml:space="preserve">2. Especificação detalhada</w:t>
      </w:r>
    </w:p>
    <w:p>
      <w:pPr>
        <w:pStyle w:val="Heading2"/>
      </w:pPr>
      <w:r>
        <w:t xml:space="preserve">2.1. Linguagem (M08)</w:t>
      </w:r>
    </w:p>
    <w:p>
      <w:pPr>
        <w:spacing w:after="120" w:line="276"/>
      </w:pPr>
      <w:r>
        <w:t xml:space="preserve">Inventário fonêmico por população; léxico significado→forma gerado proceduralmente; estágios destravados por pré-condição de estado; deriva linguística proporcional a isolamento e uso. A distância linguística por par espelha a genética (E06).</w:t>
      </w:r>
    </w:p>
    <w:p>
      <w:pPr>
        <w:pStyle w:val="Heading2"/>
      </w:pPr>
      <w:r>
        <w:t xml:space="preserve">2.2. Cultura (M09)</w:t>
      </w:r>
    </w:p>
    <w:p>
      <w:pPr>
        <w:spacing w:after="120" w:line="276"/>
      </w:pPr>
      <w:r>
        <w:t xml:space="preserve">Memes (valor/tabu/mito/arte/rito) com força e rigidez, propagados por imitação proporcional a prestígio e compatibilidade. A lente interpretativa converte eventos em significado — núcleo do 'influência, não controle' (usada por E09/M12).</w:t>
      </w:r>
    </w:p>
    <w:p>
      <w:pPr>
        <w:pStyle w:val="Heading2"/>
      </w:pPr>
      <w:r>
        <w:t xml:space="preserve">2.3. Religião (M10)</w:t>
      </w:r>
    </w:p>
    <w:p>
      <w:pPr>
        <w:spacing w:after="120" w:line="276"/>
      </w:pPr>
      <w:r>
        <w:t xml:space="preserve">Subsistema de cultura com alta rigidez e organização; dimensões fervor/dogma/organização; imagem do jogador derivada do histórico de intervenções lido pela lente. Fervor realimenta a Atenção do jogador (E09).</w:t>
      </w:r>
    </w:p>
    <w:p>
      <w:pPr>
        <w:pStyle w:val="Heading1"/>
      </w:pPr>
      <w:r>
        <w:t xml:space="preserve">3. Trechos de código-chave</w:t>
      </w:r>
    </w:p>
    <w:p>
      <w:pPr>
        <w:pStyle w:val="Heading3"/>
      </w:pPr>
      <w:r>
        <w:t xml:space="preserve">3.1. Geração de palavra (M08 §4.2)</w:t>
      </w:r>
    </w:p>
    <w:p>
      <w:pPr>
        <w:pBdr>
          <w:left w:val="single" w:color="2F6F62" w:sz="12" w:space="8"/>
        </w:pBdr>
        <w:shd w:fill="F3F4F1" w:val="clear"/>
        <w:spacing w:after="120" w:before="80"/>
      </w:pPr>
      <w:r>
        <w:rPr>
          <w:rFonts w:ascii="Consolas" w:cs="Consolas" w:eastAsia="Consolas" w:hAnsi="Consolas"/>
          <w:color w:val="24303A"/>
          <w:sz w:val="18"/>
          <w:szCs w:val="18"/>
        </w:rPr>
        <w:t xml:space="preserve">string GerarForma(FonemaInventario inv, Rng rng) {</w:t>
        <w:br/>
        <w:t xml:space="preserve">    int n = ComprimentoTipico(inv); var sb = new StringBuilder();</w:t>
        <w:br/>
        <w:t xml:space="preserve">    for (int i=0;i&lt;n;i++) sb.Append(inv.Amostrar(rng.Fork(STREAM_LEXICO)));</w:t>
        <w:br/>
        <w:t xml:space="preserve">    return sb.ToString(); // estocástico, mas restrito ao inventário (causal)</w:t>
        <w:br/>
        <w:t xml:space="preserve">}</w:t>
      </w:r>
    </w:p>
    <w:p>
      <w:pPr>
        <w:pStyle w:val="Heading3"/>
      </w:pPr>
      <w:r>
        <w:t xml:space="preserve">3.2. Lente interpretativa (M09 §4.2)</w:t>
      </w:r>
    </w:p>
    <w:p>
      <w:pPr>
        <w:pBdr>
          <w:left w:val="single" w:color="2F6F62" w:sz="12" w:space="8"/>
        </w:pBdr>
        <w:shd w:fill="F3F4F1" w:val="clear"/>
        <w:spacing w:after="120" w:before="80"/>
      </w:pPr>
      <w:r>
        <w:rPr>
          <w:rFonts w:ascii="Consolas" w:cs="Consolas" w:eastAsia="Consolas" w:hAnsi="Consolas"/>
          <w:color w:val="24303A"/>
          <w:sz w:val="18"/>
          <w:szCs w:val="18"/>
        </w:rPr>
        <w:t xml:space="preserve">Significado Interpretar(Evento e, Cultura cult) =&gt;</w:t>
        <w:br/>
        <w:t xml:space="preserve">    cult.MemesRelevantes(e)</w:t>
        <w:br/>
        <w:t xml:space="preserve">        .MaxBy(m =&gt; m.Forca * Compatibilidade(m, e)); // seleção, não sorteio</w:t>
      </w:r>
    </w:p>
    <w:p>
      <w:pPr>
        <w:pStyle w:val="Heading3"/>
      </w:pPr>
      <w:r>
        <w:t xml:space="preserve">3.3. Imagem do jogador (M10 §4.3)</w:t>
      </w:r>
    </w:p>
    <w:p>
      <w:pPr>
        <w:pBdr>
          <w:left w:val="single" w:color="2F6F62" w:sz="12" w:space="8"/>
        </w:pBdr>
        <w:shd w:fill="F3F4F1" w:val="clear"/>
        <w:spacing w:after="120" w:before="80"/>
      </w:pPr>
      <w:r>
        <w:rPr>
          <w:rFonts w:ascii="Consolas" w:cs="Consolas" w:eastAsia="Consolas" w:hAnsi="Consolas"/>
          <w:color w:val="24303A"/>
          <w:sz w:val="18"/>
          <w:szCs w:val="18"/>
        </w:rPr>
        <w:t xml:space="preserve">ImagemJogador Avaliar(HistoricoIntervencoes h, Cultura cult) =&gt;</w:t>
        <w:br/>
        <w:t xml:space="preserve">    // padrão de resultados percebidos após intervenções, lido pela lente</w:t>
        <w:br/>
        <w:t xml:space="preserve">    ClassificarPorPadrao(h, cult); // benevolente/trapaceiro/natureza/demônio</w:t>
      </w:r>
    </w:p>
    <w:p>
      <w:pPr>
        <w:pStyle w:val="Heading1"/>
      </w:pPr>
      <w:r>
        <w:t xml:space="preserve">4. Plano de testes</w:t>
      </w:r>
    </w:p>
    <w:p>
      <w:pPr>
        <w:pStyle w:val="ListParagraph"/>
        <w:numPr>
          <w:ilvl w:val="0"/>
          <w:numId w:val="2"/>
        </w:numPr>
        <w:spacing w:after="60" w:line="264"/>
      </w:pPr>
      <w:r>
        <w:rPr>
          <w:b/>
          <w:bCs/>
        </w:rPr>
        <w:t xml:space="preserve">Deriva linguística: </w:t>
      </w:r>
      <w:r>
        <w:t xml:space="preserve">populações isoladas geram léxicos divergentes; inteligibilidade cai no reencontro.</w:t>
      </w:r>
    </w:p>
    <w:p>
      <w:pPr>
        <w:pStyle w:val="ListParagraph"/>
        <w:numPr>
          <w:ilvl w:val="0"/>
          <w:numId w:val="2"/>
        </w:numPr>
        <w:spacing w:after="60" w:line="264"/>
      </w:pPr>
      <w:r>
        <w:rPr>
          <w:b/>
          <w:bCs/>
        </w:rPr>
        <w:t xml:space="preserve">Interpretação dependente de cultura: </w:t>
      </w:r>
      <w:r>
        <w:t xml:space="preserve">o mesmo evento gera significados diferentes em culturas diferentes (mesma semente).</w:t>
      </w:r>
    </w:p>
    <w:p>
      <w:pPr>
        <w:pStyle w:val="ListParagraph"/>
        <w:numPr>
          <w:ilvl w:val="0"/>
          <w:numId w:val="2"/>
        </w:numPr>
        <w:spacing w:after="60" w:line="264"/>
      </w:pPr>
      <w:r>
        <w:rPr>
          <w:b/>
          <w:bCs/>
        </w:rPr>
        <w:t xml:space="preserve">Imagem do jogador: </w:t>
      </w:r>
      <w:r>
        <w:t xml:space="preserve">Sinal antes de bonança ⇒ benevolente; antes de desastre ⇒ demoníaco.</w:t>
      </w:r>
    </w:p>
    <w:p>
      <w:pPr>
        <w:pStyle w:val="ListParagraph"/>
        <w:numPr>
          <w:ilvl w:val="0"/>
          <w:numId w:val="2"/>
        </w:numPr>
        <w:spacing w:after="60" w:line="264"/>
      </w:pPr>
      <w:r>
        <w:rPr>
          <w:b/>
          <w:bCs/>
        </w:rPr>
        <w:t xml:space="preserve">Sem cultura espontânea: </w:t>
      </w:r>
      <w:r>
        <w:t xml:space="preserve">todo meme tem origem rastreável (evento/Figura/contato).</w:t>
      </w:r>
    </w:p>
    <w:p>
      <w:pPr>
        <w:pStyle w:val="Heading1"/>
      </w:pPr>
      <w:r>
        <w:t xml:space="preserve">5. Resultado esperado</w:t>
      </w:r>
    </w:p>
    <w:p>
      <w:pPr>
        <w:pStyle w:val="ListParagraph"/>
        <w:numPr>
          <w:ilvl w:val="0"/>
          <w:numId w:val="2"/>
        </w:numPr>
        <w:spacing w:after="60" w:line="264"/>
      </w:pPr>
      <w:r>
        <w:t xml:space="preserve">Idiomas únicos por civilização, culturas com tabus e mitos próprios, religiões com imagem do jogador — tudo emergente e reproduzível.</w:t>
      </w:r>
    </w:p>
    <w:p>
      <w:pPr>
        <w:pStyle w:val="Heading1"/>
      </w:pPr>
      <w:r>
        <w:t xml:space="preserve">Checklist de verificação</w:t>
      </w:r>
    </w:p>
    <w:p>
      <w:pPr>
        <w:spacing w:after="120" w:line="276"/>
      </w:pPr>
      <w:r>
        <w:rPr>
          <w:i/>
          <w:iCs/>
          <w:color w:val="44515C"/>
        </w:rPr>
        <w:t xml:space="preserve">Marque cada item ao confirmar que está implementado e funcionando. A mecânica só é considerada concluída quando todos os grupos passam. Itens de causalidade são bloqueadores: se algum falhar, há acaso arbitrário a eliminar (GDD §1.5).</w:t>
      </w:r>
    </w:p>
    <w:p>
      <w:pPr>
        <w:pStyle w:val="Heading3"/>
      </w:pPr>
      <w:r>
        <w:t xml:space="preserve">Implementação</w:t>
      </w:r>
    </w:p>
    <w:p>
      <w:pPr>
        <w:spacing w:after="60" w:line="264"/>
        <w:ind w:left="420" w:hanging="300"/>
      </w:pPr>
      <w:r>
        <w:rPr>
          <w:rFonts w:ascii="Segoe UI Symbol" w:cs="Segoe UI Symbol" w:eastAsia="Segoe UI Symbol" w:hAnsi="Segoe UI Symbol"/>
          <w:color w:val="2F6F62"/>
          <w:sz w:val="22"/>
          <w:szCs w:val="22"/>
        </w:rPr>
        <w:t xml:space="preserve">☐  </w:t>
      </w:r>
      <w:r>
        <w:t xml:space="preserve">Inventário fonêmico, léxico procedural, estágios e deriva linguística (M08).</w:t>
      </w:r>
    </w:p>
    <w:p>
      <w:pPr>
        <w:spacing w:after="60" w:line="264"/>
        <w:ind w:left="420" w:hanging="300"/>
      </w:pPr>
      <w:r>
        <w:rPr>
          <w:rFonts w:ascii="Segoe UI Symbol" w:cs="Segoe UI Symbol" w:eastAsia="Segoe UI Symbol" w:hAnsi="Segoe UI Symbol"/>
          <w:color w:val="2F6F62"/>
          <w:sz w:val="22"/>
          <w:szCs w:val="22"/>
        </w:rPr>
        <w:t xml:space="preserve">☐  </w:t>
      </w:r>
      <w:r>
        <w:t xml:space="preserve">Memes com força/rigidez, propagação e lente interpretativa (M09).</w:t>
      </w:r>
    </w:p>
    <w:p>
      <w:pPr>
        <w:spacing w:after="60" w:line="264"/>
        <w:ind w:left="420" w:hanging="300"/>
      </w:pPr>
      <w:r>
        <w:rPr>
          <w:rFonts w:ascii="Segoe UI Symbol" w:cs="Segoe UI Symbol" w:eastAsia="Segoe UI Symbol" w:hAnsi="Segoe UI Symbol"/>
          <w:color w:val="2F6F62"/>
          <w:sz w:val="22"/>
          <w:szCs w:val="22"/>
        </w:rPr>
        <w:t xml:space="preserve">☐  </w:t>
      </w:r>
      <w:r>
        <w:t xml:space="preserve">Dimensões religiosas, estágios e imagem do jogador (M10).</w:t>
      </w:r>
    </w:p>
    <w:p>
      <w:pPr>
        <w:pStyle w:val="Heading3"/>
      </w:pPr>
      <w:r>
        <w:t xml:space="preserve">Causalidade (bloqueadores)</w:t>
      </w:r>
    </w:p>
    <w:p>
      <w:pPr>
        <w:spacing w:after="60" w:line="264"/>
        <w:ind w:left="420" w:hanging="300"/>
      </w:pPr>
      <w:r>
        <w:rPr>
          <w:rFonts w:ascii="Segoe UI Symbol" w:cs="Segoe UI Symbol" w:eastAsia="Segoe UI Symbol" w:hAnsi="Segoe UI Symbol"/>
          <w:color w:val="2F6F62"/>
          <w:sz w:val="22"/>
          <w:szCs w:val="22"/>
        </w:rPr>
        <w:t xml:space="preserve">☐  </w:t>
      </w:r>
      <w:r>
        <w:t xml:space="preserve">Avanço de estágio por pré-condição de estado, não por tempo nem sorteio.</w:t>
      </w:r>
    </w:p>
    <w:p>
      <w:pPr>
        <w:spacing w:after="60" w:line="264"/>
        <w:ind w:left="420" w:hanging="300"/>
      </w:pPr>
      <w:r>
        <w:rPr>
          <w:rFonts w:ascii="Segoe UI Symbol" w:cs="Segoe UI Symbol" w:eastAsia="Segoe UI Symbol" w:hAnsi="Segoe UI Symbol"/>
          <w:color w:val="2F6F62"/>
          <w:sz w:val="22"/>
          <w:szCs w:val="22"/>
        </w:rPr>
        <w:t xml:space="preserve">☐  </w:t>
      </w:r>
      <w:r>
        <w:t xml:space="preserve">Interpretação seleciona o meme mais forte/compatível, nunca sorteia significado.</w:t>
      </w:r>
    </w:p>
    <w:p>
      <w:pPr>
        <w:spacing w:after="60" w:line="264"/>
        <w:ind w:left="420" w:hanging="300"/>
      </w:pPr>
      <w:r>
        <w:rPr>
          <w:rFonts w:ascii="Segoe UI Symbol" w:cs="Segoe UI Symbol" w:eastAsia="Segoe UI Symbol" w:hAnsi="Segoe UI Symbol"/>
          <w:color w:val="2F6F62"/>
          <w:sz w:val="22"/>
          <w:szCs w:val="22"/>
        </w:rPr>
        <w:t xml:space="preserve">☐  </w:t>
      </w:r>
      <w:r>
        <w:t xml:space="preserve">Nenhum meme nasce do nada; imagem do jogador deriva do histórico.</w:t>
      </w:r>
    </w:p>
    <w:p>
      <w:pPr>
        <w:pStyle w:val="Heading3"/>
      </w:pPr>
      <w:r>
        <w:t xml:space="preserve">Integração</w:t>
      </w:r>
    </w:p>
    <w:p>
      <w:pPr>
        <w:spacing w:after="60" w:line="264"/>
        <w:ind w:left="420" w:hanging="300"/>
      </w:pPr>
      <w:r>
        <w:rPr>
          <w:rFonts w:ascii="Segoe UI Symbol" w:cs="Segoe UI Symbol" w:eastAsia="Segoe UI Symbol" w:hAnsi="Segoe UI Symbol"/>
          <w:color w:val="2F6F62"/>
          <w:sz w:val="22"/>
          <w:szCs w:val="22"/>
        </w:rPr>
        <w:t xml:space="preserve">☐  </w:t>
      </w:r>
      <w:r>
        <w:t xml:space="preserve">Distância linguística espelha a genética (E06) e medeia contato em E08.</w:t>
      </w:r>
    </w:p>
    <w:p>
      <w:pPr>
        <w:spacing w:after="60" w:line="264"/>
        <w:ind w:left="420" w:hanging="300"/>
      </w:pPr>
      <w:r>
        <w:rPr>
          <w:rFonts w:ascii="Segoe UI Symbol" w:cs="Segoe UI Symbol" w:eastAsia="Segoe UI Symbol" w:hAnsi="Segoe UI Symbol"/>
          <w:color w:val="2F6F62"/>
          <w:sz w:val="22"/>
          <w:szCs w:val="22"/>
        </w:rPr>
        <w:t xml:space="preserve">☐  </w:t>
      </w:r>
      <w:r>
        <w:t xml:space="preserve">Lente cultural pronta para reinterpretar intervenções (E09/M12).</w:t>
      </w:r>
    </w:p>
    <w:p>
      <w:pPr>
        <w:spacing w:after="60" w:line="264"/>
        <w:ind w:left="420" w:hanging="300"/>
      </w:pPr>
      <w:r>
        <w:rPr>
          <w:rFonts w:ascii="Segoe UI Symbol" w:cs="Segoe UI Symbol" w:eastAsia="Segoe UI Symbol" w:hAnsi="Segoe UI Symbol"/>
          <w:color w:val="2F6F62"/>
          <w:sz w:val="22"/>
          <w:szCs w:val="22"/>
        </w:rPr>
        <w:t xml:space="preserve">☐  </w:t>
      </w:r>
      <w:r>
        <w:t xml:space="preserve">Fervor pronto para realimentar a Atenção (E09).</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AA6B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2CE" w:sz="4" w:space="4"/>
      </w:pBdr>
      <w:jc w:val="right"/>
    </w:pPr>
    <w:r>
      <w:rPr>
        <w:color w:val="9AA6B0"/>
        <w:sz w:val="16"/>
        <w:szCs w:val="16"/>
      </w:rPr>
      <w:t xml:space="preserve">GÊNESE · E07 Camada Simbólica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3303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F6F62" w:sz="8" w:space="6"/>
      </w:pBdr>
      <w:spacing w:after="140" w:before="300"/>
      <w:outlineLvl w:val="0"/>
    </w:pPr>
    <w:rPr>
      <w:rFonts w:ascii="Calibri" w:cs="Calibri" w:eastAsia="Calibri" w:hAnsi="Calibri"/>
      <w:b/>
      <w:bCs/>
      <w:color w:val="2F6F62"/>
      <w:sz w:val="32"/>
      <w:szCs w:val="32"/>
    </w:rPr>
  </w:style>
  <w:style w:type="paragraph" w:styleId="Heading2">
    <w:name w:val="Heading 2"/>
    <w:basedOn w:val="Normal"/>
    <w:next w:val="Normal"/>
    <w:qFormat/>
    <w:pPr>
      <w:spacing w:after="110" w:before="220"/>
      <w:outlineLvl w:val="1"/>
    </w:pPr>
    <w:rPr>
      <w:rFonts w:ascii="Calibri" w:cs="Calibri" w:eastAsia="Calibri" w:hAnsi="Calibri"/>
      <w:b/>
      <w:bCs/>
      <w:color w:val="1F2933"/>
      <w:sz w:val="26"/>
      <w:szCs w:val="26"/>
    </w:rPr>
  </w:style>
  <w:style w:type="paragraph" w:styleId="Heading3">
    <w:name w:val="Heading 3"/>
    <w:basedOn w:val="Normal"/>
    <w:next w:val="Normal"/>
    <w:qFormat/>
    <w:pPr>
      <w:spacing w:after="70" w:before="150"/>
      <w:outlineLvl w:val="2"/>
    </w:pPr>
    <w:rPr>
      <w:rFonts w:ascii="Calibri" w:cs="Calibri" w:eastAsia="Calibri" w:hAnsi="Calibri"/>
      <w:b/>
      <w:bCs/>
      <w:color w:val="8C5BA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E07 — Camada Simbólica</dc:title>
  <dc:creator>Equipe Gênese</dc:creator>
  <cp:lastModifiedBy>Un-named</cp:lastModifiedBy>
  <cp:revision>1</cp:revision>
  <dcterms:created xsi:type="dcterms:W3CDTF">2026-06-01T02:42:29.377Z</dcterms:created>
  <dcterms:modified xsi:type="dcterms:W3CDTF">2026-06-01T02:42:29.377Z</dcterms:modified>
</cp:coreProperties>
</file>

<file path=docProps/custom.xml><?xml version="1.0" encoding="utf-8"?>
<Properties xmlns="http://schemas.openxmlformats.org/officeDocument/2006/custom-properties" xmlns:vt="http://schemas.openxmlformats.org/officeDocument/2006/docPropsVTypes"/>
</file>