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1400"/>
        <w:jc w:val="center"/>
      </w:pPr>
      <w:r>
        <w:rPr>
          <w:b/>
          <w:bCs/>
          <w:color w:val="8C5BAA"/>
          <w:sz w:val="40"/>
          <w:szCs w:val="40"/>
        </w:rPr>
        <w:t xml:space="preserve">E11</w:t>
      </w:r>
    </w:p>
    <w:p>
      <w:pPr>
        <w:spacing w:after="40"/>
        <w:jc w:val="center"/>
      </w:pPr>
      <w:r>
        <w:rPr>
          <w:b/>
          <w:bCs/>
          <w:color w:val="2F6F62"/>
          <w:sz w:val="60"/>
          <w:szCs w:val="60"/>
        </w:rPr>
        <w:t xml:space="preserve">Otimização, QA e Conformidade</w:t>
      </w:r>
    </w:p>
    <w:p>
      <w:pPr>
        <w:spacing w:after="60"/>
        <w:jc w:val="center"/>
      </w:pPr>
      <w:r>
        <w:rPr>
          <w:color w:val="7A8691"/>
          <w:sz w:val="24"/>
          <w:szCs w:val="24"/>
        </w:rPr>
        <w:t xml:space="preserve">Documento de Mecânica — Gênese</w:t>
      </w:r>
    </w:p>
    <w:p>
      <w:pPr>
        <w:spacing w:after="400"/>
        <w:jc w:val="center"/>
      </w:pPr>
      <w:r>
        <w:rPr>
          <w:i/>
          <w:iCs/>
          <w:color w:val="7A8691"/>
          <w:sz w:val="22"/>
          <w:szCs w:val="22"/>
        </w:rPr>
        <w:t xml:space="preserve">Performance, testes de carga e políticas Play/Steam</w:t>
      </w:r>
    </w:p>
    <w:p>
      <w:pPr>
        <w:spacing w:after="120" w:line="276"/>
      </w:pPr>
      <w:r>
        <w:rPr>
          <w:b/>
          <w:bCs/>
          <w:color w:val="2F6F62"/>
          <w:sz w:val="24"/>
          <w:szCs w:val="24"/>
        </w:rPr>
        <w:t xml:space="preserve">Metadados e dependências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Campo</w:t>
            </w:r>
          </w:p>
        </w:tc>
        <w:tc>
          <w:tcPr>
            <w:tcW w:type="dxa" w:w="6960"/>
            <w:tcBorders>
              <w:top w:val="single" w:color="C8D2CE" w:sz="1"/>
              <w:left w:val="single" w:color="C8D2CE" w:sz="1"/>
              <w:bottom w:val="single" w:color="C8D2CE" w:sz="1"/>
              <w:right w:val="single" w:color="C8D2CE" w:sz="1"/>
            </w:tcBorders>
            <w:shd w:fill="8C5BAA" w:val="clear"/>
            <w:tcMar>
              <w:top w:type="dxa" w:w="80"/>
              <w:left w:type="dxa" w:w="120"/>
              <w:bottom w:type="dxa" w:w="80"/>
              <w:right w:type="dxa" w:w="120"/>
            </w:tcMar>
          </w:tcPr>
          <w:p>
            <w:r>
              <w:rPr>
                <w:b/>
                <w:bCs/>
                <w:color w:val="FFFFFF"/>
                <w:sz w:val="20"/>
                <w:szCs w:val="20"/>
              </w:rPr>
              <w:t xml:space="preserve">Valor</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Identificador</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E11</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Versão</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0.1</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Depende de</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E10</w:t>
            </w:r>
          </w:p>
        </w:tc>
      </w:tr>
      <w:tr>
        <w:tc>
          <w:tcPr>
            <w:tcW w:type="dxa" w:w="24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Alimenta / é usada por</w:t>
            </w:r>
          </w:p>
        </w:tc>
        <w:tc>
          <w:tcPr>
            <w:tcW w:type="dxa" w:w="69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E12</w:t>
            </w:r>
          </w:p>
        </w:tc>
      </w:tr>
      <w:tr>
        <w:tc>
          <w:tcPr>
            <w:tcW w:type="dxa" w:w="24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Referência no GDD</w:t>
            </w:r>
          </w:p>
        </w:tc>
        <w:tc>
          <w:tcPr>
            <w:tcW w:type="dxa" w:w="69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§10.3</w:t>
            </w:r>
          </w:p>
        </w:tc>
      </w:tr>
    </w:tbl>
    <w:p>
      <w:pPr>
        <w:spacing w:before="160"/>
      </w:pPr>
      <w:r>
        <w:rPr>
          <w:b/>
          <w:bCs/>
          <w:color w:val="8C5BAA"/>
        </w:rPr>
        <w:t xml:space="preserve">Princípio de causalidade (vale para todo o documento): </w:t>
      </w:r>
      <w:r>
        <w:rPr>
          <w:i/>
          <w:iCs/>
        </w:rPr>
        <w:t xml:space="preserve">nenhum número aleatório é consultado sem que sua distribuição derive do estado do mundo. Não há 'evento aleatório', só 'resultado incerto de causas conhecidas' (GDD §1.5). Toda subseção 'Causalidade' abaixo declara de onde vêm as probabilidades.</w:t>
      </w:r>
    </w:p>
    <w:p>
      <w:r>
        <w:br w:type="page"/>
      </w:r>
    </w:p>
    <w:p>
      <w:pPr>
        <w:pStyle w:val="Heading1"/>
      </w:pPr>
      <w:r>
        <w:t xml:space="preserve">Índice</w:t>
      </w:r>
    </w:p>
    <w:sdt>
      <w:sdtPr>
        <w:alias w:val="Sumário"/>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Objetivo e pré-requisitos</w:t>
      </w:r>
    </w:p>
    <w:p>
      <w:pPr>
        <w:spacing w:after="120" w:line="276"/>
      </w:pPr>
      <w:r>
        <w:t xml:space="preserve">Deixar o jogo pronto para loja: performance dentro dos alvos em Android e PC, QA abrangente, e conformidade com as políticas da Google Play e da Steam. Pré-requisitos: E10. Referências: GDD §10.3; políticas das lojas (verificar versões vigentes).</w:t>
      </w:r>
    </w:p>
    <w:p>
      <w:pPr>
        <w:pStyle w:val="Heading1"/>
      </w:pPr>
      <w:r>
        <w:t xml:space="preserve">2. Especificação detalhada</w:t>
      </w:r>
    </w:p>
    <w:p>
      <w:pPr>
        <w:pStyle w:val="Heading2"/>
      </w:pPr>
      <w:r>
        <w:t xml:space="preserve">2.1. Performance</w:t>
      </w:r>
    </w:p>
    <w:p>
      <w:pPr>
        <w:spacing w:after="120" w:line="276"/>
      </w:pPr>
      <w:r>
        <w:t xml:space="preserve">Perfilar CPU, memória, GPU e bateria. Garantir os alvos: framerate estável em dispositivo Android de referência (definir tier mínimo) e em PC modesto. Afinar o LOD de simulação (E06), reduzir alocações na thread de simulação, e mover a simulação para fora da thread de render.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Métrica</w:t>
            </w:r>
          </w:p>
        </w:tc>
        <w:tc>
          <w:tcPr>
            <w:tcW w:type="dxa" w:w="676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Alvo de referência (definir números reais em playtest)</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Framerate</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Estável no tier mínimo de Android e em PC modesto.</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Memória</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Abaixo do teto do dispositivo de referência, sem crescimento contínuo (sem vazamentos).</w:t>
            </w:r>
          </w:p>
        </w:tc>
      </w:tr>
      <w:tr>
        <w:tc>
          <w:tcPr>
            <w:tcW w:type="dxa" w:w="26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Tempo de tick de simulação</w:t>
            </w:r>
          </w:p>
        </w:tc>
        <w:tc>
          <w:tcPr>
            <w:tcW w:type="dxa" w:w="676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Dentro do orçamento que mantém a velocidade-alvo com N agentes.</w:t>
            </w:r>
          </w:p>
        </w:tc>
      </w:tr>
      <w:tr>
        <w:tc>
          <w:tcPr>
            <w:tcW w:type="dxa" w:w="26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Bateria/aquecimento</w:t>
            </w:r>
          </w:p>
        </w:tc>
        <w:tc>
          <w:tcPr>
            <w:tcW w:type="dxa" w:w="676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Aceitável em sessões longas no mobile.</w:t>
            </w:r>
          </w:p>
        </w:tc>
      </w:tr>
    </w:tbl>
    <w:p>
      <w:pPr>
        <w:pStyle w:val="Heading2"/>
      </w:pPr>
      <w:r>
        <w:t xml:space="preserve">2.2. QA</w:t>
      </w:r>
    </w:p>
    <w:p>
      <w:pPr>
        <w:pStyle w:val="ListParagraph"/>
        <w:numPr>
          <w:ilvl w:val="0"/>
          <w:numId w:val="2"/>
        </w:numPr>
        <w:spacing w:after="60" w:line="264"/>
      </w:pPr>
      <w:r>
        <w:t xml:space="preserve">Testes de carga: populações e mundos grandes; sessões muito longas (jogo 'sem fim').</w:t>
      </w:r>
    </w:p>
    <w:p>
      <w:pPr>
        <w:pStyle w:val="ListParagraph"/>
        <w:numPr>
          <w:ilvl w:val="0"/>
          <w:numId w:val="2"/>
        </w:numPr>
        <w:spacing w:after="60" w:line="264"/>
      </w:pPr>
      <w:r>
        <w:t xml:space="preserve">Testes de replay: determinismo preservado após todas as camadas (âncora de E01).</w:t>
      </w:r>
    </w:p>
    <w:p>
      <w:pPr>
        <w:pStyle w:val="ListParagraph"/>
        <w:numPr>
          <w:ilvl w:val="0"/>
          <w:numId w:val="2"/>
        </w:numPr>
        <w:spacing w:after="60" w:line="264"/>
      </w:pPr>
      <w:r>
        <w:t xml:space="preserve">Testes de fuzzing de intervenção: o jogador não consegue levar o jogo a um estado inválido.</w:t>
      </w:r>
    </w:p>
    <w:p>
      <w:pPr>
        <w:pStyle w:val="ListParagraph"/>
        <w:numPr>
          <w:ilvl w:val="0"/>
          <w:numId w:val="2"/>
        </w:numPr>
        <w:spacing w:after="60" w:line="264"/>
      </w:pPr>
      <w:r>
        <w:t xml:space="preserve">Compatibilidade de dispositivos Android (matriz de telas, GPUs, versões de OS).</w:t>
      </w:r>
    </w:p>
    <w:p>
      <w:pPr>
        <w:pStyle w:val="Heading2"/>
      </w:pPr>
      <w:r>
        <w:t xml:space="preserve">2.3. Conformidade de loja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830"/>
        <w:gridCol w:w="3830"/>
      </w:tblGrid>
      <w:tr>
        <w:trPr>
          <w:tblHeader/>
        </w:trPr>
        <w:tc>
          <w:tcPr>
            <w:tcW w:type="dxa" w:w="170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Área</w:t>
            </w:r>
          </w:p>
        </w:tc>
        <w:tc>
          <w:tcPr>
            <w:tcW w:type="dxa" w:w="383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Google Play</w:t>
            </w:r>
          </w:p>
        </w:tc>
        <w:tc>
          <w:tcPr>
            <w:tcW w:type="dxa" w:w="3830"/>
            <w:tcBorders>
              <w:top w:val="single" w:color="C8D2CE" w:sz="1"/>
              <w:left w:val="single" w:color="C8D2CE" w:sz="1"/>
              <w:bottom w:val="single" w:color="C8D2CE" w:sz="1"/>
              <w:right w:val="single" w:color="C8D2CE" w:sz="1"/>
            </w:tcBorders>
            <w:shd w:fill="2F6F62" w:val="clear"/>
            <w:tcMar>
              <w:top w:type="dxa" w:w="80"/>
              <w:left w:type="dxa" w:w="120"/>
              <w:bottom w:type="dxa" w:w="80"/>
              <w:right w:type="dxa" w:w="120"/>
            </w:tcMar>
          </w:tcPr>
          <w:p>
            <w:r>
              <w:rPr>
                <w:b/>
                <w:bCs/>
                <w:color w:val="FFFFFF"/>
                <w:sz w:val="20"/>
                <w:szCs w:val="20"/>
              </w:rPr>
              <w:t xml:space="preserve">Steam</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Empacotamento</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AAB assinado, target API recente exigido</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Depot/branches, build por plataforma</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Classificação etária</w:t>
            </w:r>
          </w:p>
        </w:tc>
        <w:tc>
          <w:tcPr>
            <w:tcW w:type="dxa" w:w="38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Questionário IARC</w:t>
            </w:r>
          </w:p>
        </w:tc>
        <w:tc>
          <w:tcPr>
            <w:tcW w:type="dxa" w:w="38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Questionário de conteúdo da Steam</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Privacidade</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Política de privacidade + Data safety; telemetria opt-in</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Política de privacidade; conformidade de dados</w:t>
            </w:r>
          </w:p>
        </w:tc>
      </w:tr>
      <w:tr>
        <w:tc>
          <w:tcPr>
            <w:tcW w:type="dxa" w:w="170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Conteúdo</w:t>
            </w:r>
          </w:p>
        </w:tc>
        <w:tc>
          <w:tcPr>
            <w:tcW w:type="dxa" w:w="38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Políticas de conteúdo e de IA generativa, se aplicável</w:t>
            </w:r>
          </w:p>
        </w:tc>
        <w:tc>
          <w:tcPr>
            <w:tcW w:type="dxa" w:w="3830"/>
            <w:tcBorders>
              <w:top w:val="single" w:color="C8D2CE" w:sz="1"/>
              <w:left w:val="single" w:color="C8D2CE" w:sz="1"/>
              <w:bottom w:val="single" w:color="C8D2CE" w:sz="1"/>
              <w:right w:val="single" w:color="C8D2CE" w:sz="1"/>
            </w:tcBorders>
            <w:shd w:fill="EAF2EF" w:val="clear"/>
            <w:tcMar>
              <w:top w:type="dxa" w:w="70"/>
              <w:left w:type="dxa" w:w="120"/>
              <w:bottom w:type="dxa" w:w="70"/>
              <w:right w:type="dxa" w:w="120"/>
            </w:tcMar>
          </w:tcPr>
          <w:p>
            <w:r>
              <w:rPr>
                <w:sz w:val="20"/>
                <w:szCs w:val="20"/>
              </w:rPr>
              <w:t xml:space="preserve">Regras de conteúdo da Steam</w:t>
            </w:r>
          </w:p>
        </w:tc>
      </w:tr>
      <w:tr>
        <w:tc>
          <w:tcPr>
            <w:tcW w:type="dxa" w:w="170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Ficha de loja</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Descrição, capturas, ícone, vídeo</w:t>
            </w:r>
          </w:p>
        </w:tc>
        <w:tc>
          <w:tcPr>
            <w:tcW w:type="dxa" w:w="3830"/>
            <w:tcBorders>
              <w:top w:val="single" w:color="C8D2CE" w:sz="1"/>
              <w:left w:val="single" w:color="C8D2CE" w:sz="1"/>
              <w:bottom w:val="single" w:color="C8D2CE" w:sz="1"/>
              <w:right w:val="single" w:color="C8D2CE" w:sz="1"/>
            </w:tcBorders>
            <w:shd w:fill="FFFFFF" w:val="clear"/>
            <w:tcMar>
              <w:top w:type="dxa" w:w="70"/>
              <w:left w:type="dxa" w:w="120"/>
              <w:bottom w:type="dxa" w:w="70"/>
              <w:right w:type="dxa" w:w="120"/>
            </w:tcMar>
          </w:tcPr>
          <w:p>
            <w:r>
              <w:rPr>
                <w:sz w:val="20"/>
                <w:szCs w:val="20"/>
              </w:rPr>
              <w:t xml:space="preserve">Página da loja, capsules, trailer</w:t>
            </w:r>
          </w:p>
        </w:tc>
      </w:tr>
    </w:tbl>
    <w:p>
      <w:pPr>
        <w:spacing w:after="120" w:line="276"/>
      </w:pPr>
      <w:r>
        <w:rPr>
          <w:b/>
          <w:bCs/>
        </w:rPr>
        <w:t xml:space="preserve">Importante: </w:t>
      </w:r>
      <w:r>
        <w:t xml:space="preserve">as políticas das lojas mudam com frequência. Antes da submissão, revisar a documentação vigente da Google Play e da Steamworks (requisitos de target API, privacidade, classificação etária) — não confiar em versões memorizadas.</w:t>
      </w:r>
    </w:p>
    <w:p>
      <w:pPr>
        <w:pStyle w:val="Heading1"/>
      </w:pPr>
      <w:r>
        <w:t xml:space="preserve">3. Trechos de código-chave</w:t>
      </w:r>
    </w:p>
    <w:p>
      <w:pPr>
        <w:pStyle w:val="Heading3"/>
      </w:pPr>
      <w:r>
        <w:t xml:space="preserve">3.1. Simulação fora da thread de render</w:t>
      </w:r>
    </w:p>
    <w:p>
      <w:pPr>
        <w:pBdr>
          <w:left w:val="single" w:color="2F6F62" w:sz="12" w:space="8"/>
        </w:pBdr>
        <w:shd w:fill="F3F4F1" w:val="clear"/>
        <w:spacing w:after="120" w:before="80"/>
      </w:pPr>
      <w:r>
        <w:rPr>
          <w:rFonts w:ascii="Consolas" w:cs="Consolas" w:eastAsia="Consolas" w:hAnsi="Consolas"/>
          <w:color w:val="24303A"/>
          <w:sz w:val="18"/>
          <w:szCs w:val="18"/>
        </w:rPr>
        <w:t xml:space="preserve">// thread dedicada avança a simulação; render lê snapshots imutáveis</w:t>
        <w:br/>
        <w:t xml:space="preserve">Task.Run(() =&gt; { while (rodando) { sim.Step(); PublicarSnapshot(sim.State); } });</w:t>
        <w:br/>
        <w:t xml:space="preserve">// a thread de render nunca bloqueia esperando a simulação</w:t>
      </w:r>
    </w:p>
    <w:p>
      <w:pPr>
        <w:pStyle w:val="Heading1"/>
      </w:pPr>
      <w:r>
        <w:t xml:space="preserve">4. Plano de testes</w:t>
      </w:r>
    </w:p>
    <w:p>
      <w:pPr>
        <w:pStyle w:val="ListParagraph"/>
        <w:numPr>
          <w:ilvl w:val="0"/>
          <w:numId w:val="2"/>
        </w:numPr>
        <w:spacing w:after="60" w:line="264"/>
      </w:pPr>
      <w:r>
        <w:rPr>
          <w:b/>
          <w:bCs/>
        </w:rPr>
        <w:t xml:space="preserve">Soak test: </w:t>
      </w:r>
      <w:r>
        <w:t xml:space="preserve">horas de execução sem vazamento de memória nem queda de framerate.</w:t>
      </w:r>
    </w:p>
    <w:p>
      <w:pPr>
        <w:pStyle w:val="ListParagraph"/>
        <w:numPr>
          <w:ilvl w:val="0"/>
          <w:numId w:val="2"/>
        </w:numPr>
        <w:spacing w:after="60" w:line="264"/>
      </w:pPr>
      <w:r>
        <w:rPr>
          <w:b/>
          <w:bCs/>
        </w:rPr>
        <w:t xml:space="preserve">Matriz de dispositivos: </w:t>
      </w:r>
      <w:r>
        <w:t xml:space="preserve">rodar em vários Androids reais cobrindo o tier mínimo.</w:t>
      </w:r>
    </w:p>
    <w:p>
      <w:pPr>
        <w:pStyle w:val="ListParagraph"/>
        <w:numPr>
          <w:ilvl w:val="0"/>
          <w:numId w:val="2"/>
        </w:numPr>
        <w:spacing w:after="60" w:line="264"/>
      </w:pPr>
      <w:r>
        <w:rPr>
          <w:b/>
          <w:bCs/>
        </w:rPr>
        <w:t xml:space="preserve">Pré-submissão: </w:t>
      </w:r>
      <w:r>
        <w:t xml:space="preserve">checagem contra a checklist de cada loja antes de subir.</w:t>
      </w:r>
    </w:p>
    <w:p>
      <w:pPr>
        <w:pStyle w:val="Heading1"/>
      </w:pPr>
      <w:r>
        <w:t xml:space="preserve">5. Resultado esperado</w:t>
      </w:r>
    </w:p>
    <w:p>
      <w:pPr>
        <w:pStyle w:val="ListParagraph"/>
        <w:numPr>
          <w:ilvl w:val="0"/>
          <w:numId w:val="2"/>
        </w:numPr>
        <w:spacing w:after="60" w:line="264"/>
      </w:pPr>
      <w:r>
        <w:t xml:space="preserve">Builds de loja (AAB para Play, depots para Steam) que passam nas verificações e nos alvos de performance. Marco M-E atingido.</w:t>
      </w:r>
    </w:p>
    <w:p>
      <w:pPr>
        <w:pStyle w:val="Heading1"/>
      </w:pPr>
      <w:r>
        <w:t xml:space="preserve">Checklist de verificação</w:t>
      </w:r>
    </w:p>
    <w:p>
      <w:pPr>
        <w:spacing w:after="120" w:line="276"/>
      </w:pPr>
      <w:r>
        <w:rPr>
          <w:i/>
          <w:iCs/>
          <w:color w:val="44515C"/>
        </w:rPr>
        <w:t xml:space="preserve">Marque cada item ao confirmar que está implementado e funcionando. A mecânica só é considerada concluída quando todos os grupos passam. Itens de causalidade são bloqueadores: se algum falhar, há acaso arbitrário a eliminar (GDD §1.5).</w:t>
      </w:r>
    </w:p>
    <w:p>
      <w:pPr>
        <w:pStyle w:val="Heading3"/>
      </w:pPr>
      <w:r>
        <w:t xml:space="preserve">Performance</w:t>
      </w:r>
    </w:p>
    <w:p>
      <w:pPr>
        <w:spacing w:after="60" w:line="264"/>
        <w:ind w:left="420" w:hanging="300"/>
      </w:pPr>
      <w:r>
        <w:rPr>
          <w:rFonts w:ascii="Segoe UI Symbol" w:cs="Segoe UI Symbol" w:eastAsia="Segoe UI Symbol" w:hAnsi="Segoe UI Symbol"/>
          <w:color w:val="2F6F62"/>
          <w:sz w:val="22"/>
          <w:szCs w:val="22"/>
        </w:rPr>
        <w:t xml:space="preserve">☐  </w:t>
      </w:r>
      <w:r>
        <w:t xml:space="preserve">Framerate estável no tier Android mínimo e em PC modesto.</w:t>
      </w:r>
    </w:p>
    <w:p>
      <w:pPr>
        <w:spacing w:after="60" w:line="264"/>
        <w:ind w:left="420" w:hanging="300"/>
      </w:pPr>
      <w:r>
        <w:rPr>
          <w:rFonts w:ascii="Segoe UI Symbol" w:cs="Segoe UI Symbol" w:eastAsia="Segoe UI Symbol" w:hAnsi="Segoe UI Symbol"/>
          <w:color w:val="2F6F62"/>
          <w:sz w:val="22"/>
          <w:szCs w:val="22"/>
        </w:rPr>
        <w:t xml:space="preserve">☐  </w:t>
      </w:r>
      <w:r>
        <w:t xml:space="preserve">Sem vazamento de memória em soak test longo.</w:t>
      </w:r>
    </w:p>
    <w:p>
      <w:pPr>
        <w:spacing w:after="60" w:line="264"/>
        <w:ind w:left="420" w:hanging="300"/>
      </w:pPr>
      <w:r>
        <w:rPr>
          <w:rFonts w:ascii="Segoe UI Symbol" w:cs="Segoe UI Symbol" w:eastAsia="Segoe UI Symbol" w:hAnsi="Segoe UI Symbol"/>
          <w:color w:val="2F6F62"/>
          <w:sz w:val="22"/>
          <w:szCs w:val="22"/>
        </w:rPr>
        <w:t xml:space="preserve">☐  </w:t>
      </w:r>
      <w:r>
        <w:t xml:space="preserve">Simulação roda fora da thread de render; LOD afinado.</w:t>
      </w:r>
    </w:p>
    <w:p>
      <w:pPr>
        <w:pStyle w:val="Heading3"/>
      </w:pPr>
      <w:r>
        <w:t xml:space="preserve">QA</w:t>
      </w:r>
    </w:p>
    <w:p>
      <w:pPr>
        <w:spacing w:after="60" w:line="264"/>
        <w:ind w:left="420" w:hanging="300"/>
      </w:pPr>
      <w:r>
        <w:rPr>
          <w:rFonts w:ascii="Segoe UI Symbol" w:cs="Segoe UI Symbol" w:eastAsia="Segoe UI Symbol" w:hAnsi="Segoe UI Symbol"/>
          <w:color w:val="2F6F62"/>
          <w:sz w:val="22"/>
          <w:szCs w:val="22"/>
        </w:rPr>
        <w:t xml:space="preserve">☐  </w:t>
      </w:r>
      <w:r>
        <w:t xml:space="preserve">Determinismo/replay preservado após todas as camadas.</w:t>
      </w:r>
    </w:p>
    <w:p>
      <w:pPr>
        <w:spacing w:after="60" w:line="264"/>
        <w:ind w:left="420" w:hanging="300"/>
      </w:pPr>
      <w:r>
        <w:rPr>
          <w:rFonts w:ascii="Segoe UI Symbol" w:cs="Segoe UI Symbol" w:eastAsia="Segoe UI Symbol" w:hAnsi="Segoe UI Symbol"/>
          <w:color w:val="2F6F62"/>
          <w:sz w:val="22"/>
          <w:szCs w:val="22"/>
        </w:rPr>
        <w:t xml:space="preserve">☐  </w:t>
      </w:r>
      <w:r>
        <w:t xml:space="preserve">Fuzzing de intervenção não leva a estado inválido.</w:t>
      </w:r>
    </w:p>
    <w:p>
      <w:pPr>
        <w:spacing w:after="60" w:line="264"/>
        <w:ind w:left="420" w:hanging="300"/>
      </w:pPr>
      <w:r>
        <w:rPr>
          <w:rFonts w:ascii="Segoe UI Symbol" w:cs="Segoe UI Symbol" w:eastAsia="Segoe UI Symbol" w:hAnsi="Segoe UI Symbol"/>
          <w:color w:val="2F6F62"/>
          <w:sz w:val="22"/>
          <w:szCs w:val="22"/>
        </w:rPr>
        <w:t xml:space="preserve">☐  </w:t>
      </w:r>
      <w:r>
        <w:t xml:space="preserve">Matriz de dispositivos Android coberta.</w:t>
      </w:r>
    </w:p>
    <w:p>
      <w:pPr>
        <w:pStyle w:val="Heading3"/>
      </w:pPr>
      <w:r>
        <w:t xml:space="preserve">Conformidade</w:t>
      </w:r>
    </w:p>
    <w:p>
      <w:pPr>
        <w:spacing w:after="60" w:line="264"/>
        <w:ind w:left="420" w:hanging="300"/>
      </w:pPr>
      <w:r>
        <w:rPr>
          <w:rFonts w:ascii="Segoe UI Symbol" w:cs="Segoe UI Symbol" w:eastAsia="Segoe UI Symbol" w:hAnsi="Segoe UI Symbol"/>
          <w:color w:val="2F6F62"/>
          <w:sz w:val="22"/>
          <w:szCs w:val="22"/>
        </w:rPr>
        <w:t xml:space="preserve">☐  </w:t>
      </w:r>
      <w:r>
        <w:t xml:space="preserve">AAB assinado com target API exigido; depots Steam configurados.</w:t>
      </w:r>
    </w:p>
    <w:p>
      <w:pPr>
        <w:spacing w:after="60" w:line="264"/>
        <w:ind w:left="420" w:hanging="300"/>
      </w:pPr>
      <w:r>
        <w:rPr>
          <w:rFonts w:ascii="Segoe UI Symbol" w:cs="Segoe UI Symbol" w:eastAsia="Segoe UI Symbol" w:hAnsi="Segoe UI Symbol"/>
          <w:color w:val="2F6F62"/>
          <w:sz w:val="22"/>
          <w:szCs w:val="22"/>
        </w:rPr>
        <w:t xml:space="preserve">☐  </w:t>
      </w:r>
      <w:r>
        <w:t xml:space="preserve">Classificação etária (IARC/Steam) e política de privacidade prontas.</w:t>
      </w:r>
    </w:p>
    <w:p>
      <w:pPr>
        <w:spacing w:after="60" w:line="264"/>
        <w:ind w:left="420" w:hanging="300"/>
      </w:pPr>
      <w:r>
        <w:rPr>
          <w:rFonts w:ascii="Segoe UI Symbol" w:cs="Segoe UI Symbol" w:eastAsia="Segoe UI Symbol" w:hAnsi="Segoe UI Symbol"/>
          <w:color w:val="2F6F62"/>
          <w:sz w:val="22"/>
          <w:szCs w:val="22"/>
        </w:rPr>
        <w:t xml:space="preserve">☐  </w:t>
      </w:r>
      <w:r>
        <w:t xml:space="preserve">Políticas vigentes de cada loja revisadas na documentação atual antes de submeter.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AA6B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8D2CE" w:sz="4" w:space="4"/>
      </w:pBdr>
      <w:jc w:val="right"/>
    </w:pPr>
    <w:r>
      <w:rPr>
        <w:color w:val="9AA6B0"/>
        <w:sz w:val="16"/>
        <w:szCs w:val="16"/>
      </w:rPr>
      <w:t xml:space="preserve">GÊNESE · E11 Otimização, QA e Conformidade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3303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F6F62" w:sz="8" w:space="6"/>
      </w:pBdr>
      <w:spacing w:after="140" w:before="300"/>
      <w:outlineLvl w:val="0"/>
    </w:pPr>
    <w:rPr>
      <w:rFonts w:ascii="Calibri" w:cs="Calibri" w:eastAsia="Calibri" w:hAnsi="Calibri"/>
      <w:b/>
      <w:bCs/>
      <w:color w:val="2F6F62"/>
      <w:sz w:val="32"/>
      <w:szCs w:val="32"/>
    </w:rPr>
  </w:style>
  <w:style w:type="paragraph" w:styleId="Heading2">
    <w:name w:val="Heading 2"/>
    <w:basedOn w:val="Normal"/>
    <w:next w:val="Normal"/>
    <w:qFormat/>
    <w:pPr>
      <w:spacing w:after="110" w:before="220"/>
      <w:outlineLvl w:val="1"/>
    </w:pPr>
    <w:rPr>
      <w:rFonts w:ascii="Calibri" w:cs="Calibri" w:eastAsia="Calibri" w:hAnsi="Calibri"/>
      <w:b/>
      <w:bCs/>
      <w:color w:val="1F2933"/>
      <w:sz w:val="26"/>
      <w:szCs w:val="26"/>
    </w:rPr>
  </w:style>
  <w:style w:type="paragraph" w:styleId="Heading3">
    <w:name w:val="Heading 3"/>
    <w:basedOn w:val="Normal"/>
    <w:next w:val="Normal"/>
    <w:qFormat/>
    <w:pPr>
      <w:spacing w:after="70" w:before="150"/>
      <w:outlineLvl w:val="2"/>
    </w:pPr>
    <w:rPr>
      <w:rFonts w:ascii="Calibri" w:cs="Calibri" w:eastAsia="Calibri" w:hAnsi="Calibri"/>
      <w:b/>
      <w:bCs/>
      <w:color w:val="8C5BA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E11 — Otimização, QA e Conformidade</dc:title>
  <dc:creator>Equipe Gênese</dc:creator>
  <cp:lastModifiedBy>Un-named</cp:lastModifiedBy>
  <cp:revision>1</cp:revision>
  <dcterms:created xsi:type="dcterms:W3CDTF">2026-06-01T02:44:15.306Z</dcterms:created>
  <dcterms:modified xsi:type="dcterms:W3CDTF">2026-06-01T02:44:15.306Z</dcterms:modified>
</cp:coreProperties>
</file>

<file path=docProps/custom.xml><?xml version="1.0" encoding="utf-8"?>
<Properties xmlns="http://schemas.openxmlformats.org/officeDocument/2006/custom-properties" xmlns:vt="http://schemas.openxmlformats.org/officeDocument/2006/docPropsVTypes"/>
</file>