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794" w:rsidRPr="006D2104" w:rsidRDefault="00563794" w:rsidP="00563794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D2104">
        <w:rPr>
          <w:rFonts w:ascii="Times New Roman" w:hAnsi="Times New Roman" w:cs="Times New Roman"/>
          <w:b/>
          <w:sz w:val="24"/>
          <w:szCs w:val="24"/>
          <w:lang w:val="es-GT"/>
        </w:rPr>
        <w:t>Escuela de Estudios de Postgrado</w:t>
      </w:r>
    </w:p>
    <w:p w:rsidR="00563794" w:rsidRPr="006D2104" w:rsidRDefault="00563794" w:rsidP="00563794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D2104">
        <w:rPr>
          <w:rFonts w:ascii="Times New Roman" w:hAnsi="Times New Roman" w:cs="Times New Roman"/>
          <w:b/>
          <w:sz w:val="24"/>
          <w:szCs w:val="24"/>
          <w:lang w:val="es-GT"/>
        </w:rPr>
        <w:t>Facultad de Ingeniería</w:t>
      </w:r>
    </w:p>
    <w:p w:rsidR="00563794" w:rsidRDefault="00563794" w:rsidP="00563794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D2104">
        <w:rPr>
          <w:rFonts w:ascii="Times New Roman" w:hAnsi="Times New Roman" w:cs="Times New Roman"/>
          <w:b/>
          <w:sz w:val="24"/>
          <w:szCs w:val="24"/>
          <w:lang w:val="es-GT"/>
        </w:rPr>
        <w:t>Universidad San Carlos de Guatemala</w:t>
      </w:r>
    </w:p>
    <w:p w:rsidR="00563794" w:rsidRDefault="00563794" w:rsidP="00563794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sz w:val="24"/>
          <w:szCs w:val="24"/>
          <w:lang w:val="es-GT"/>
        </w:rPr>
        <w:t xml:space="preserve">Maestría en Ingeniería para la Industria con </w:t>
      </w:r>
    </w:p>
    <w:p w:rsidR="00563794" w:rsidRPr="006D2104" w:rsidRDefault="00563794" w:rsidP="00563794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sz w:val="24"/>
          <w:szCs w:val="24"/>
          <w:lang w:val="es-GT"/>
        </w:rPr>
        <w:t>Especialización en Ciencias de la Computación.</w:t>
      </w:r>
    </w:p>
    <w:p w:rsidR="00563794" w:rsidRDefault="008E4575" w:rsidP="00563794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sz w:val="24"/>
          <w:szCs w:val="24"/>
          <w:lang w:val="es-GT"/>
        </w:rPr>
        <w:t>Minería de Datos</w:t>
      </w:r>
    </w:p>
    <w:p w:rsidR="002E5548" w:rsidRPr="006D2104" w:rsidRDefault="002E5548" w:rsidP="00563794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sz w:val="24"/>
          <w:szCs w:val="24"/>
          <w:lang w:val="es-GT"/>
        </w:rPr>
        <w:t xml:space="preserve">Ing. Ms. Kevin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GT"/>
        </w:rPr>
        <w:t>Lajpop</w:t>
      </w:r>
      <w:proofErr w:type="spellEnd"/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307354" w:rsidRDefault="00563794" w:rsidP="00563794">
      <w:pPr>
        <w:jc w:val="center"/>
        <w:rPr>
          <w:rFonts w:ascii="Times New Roman" w:hAnsi="Times New Roman" w:cs="Times New Roman"/>
          <w:b/>
          <w:sz w:val="32"/>
          <w:szCs w:val="24"/>
          <w:lang w:val="es-GT"/>
        </w:rPr>
      </w:pPr>
      <w:r w:rsidRPr="00307354">
        <w:rPr>
          <w:rFonts w:ascii="Times New Roman" w:hAnsi="Times New Roman" w:cs="Times New Roman"/>
          <w:b/>
          <w:sz w:val="32"/>
          <w:szCs w:val="24"/>
          <w:lang w:val="es-GT"/>
        </w:rPr>
        <w:t xml:space="preserve">Tarea </w:t>
      </w:r>
      <w:r w:rsidR="009F137A">
        <w:rPr>
          <w:rFonts w:ascii="Times New Roman" w:hAnsi="Times New Roman" w:cs="Times New Roman"/>
          <w:b/>
          <w:sz w:val="32"/>
          <w:szCs w:val="24"/>
          <w:lang w:val="es-GT"/>
        </w:rPr>
        <w:t>3</w:t>
      </w:r>
    </w:p>
    <w:p w:rsidR="00563794" w:rsidRPr="00307354" w:rsidRDefault="008E4575" w:rsidP="00563794">
      <w:pPr>
        <w:jc w:val="center"/>
        <w:rPr>
          <w:rFonts w:ascii="Times New Roman" w:hAnsi="Times New Roman" w:cs="Times New Roman"/>
          <w:b/>
          <w:sz w:val="32"/>
          <w:szCs w:val="24"/>
          <w:lang w:val="es-GT"/>
        </w:rPr>
      </w:pPr>
      <w:r>
        <w:rPr>
          <w:rFonts w:ascii="Times New Roman" w:hAnsi="Times New Roman" w:cs="Times New Roman"/>
          <w:b/>
          <w:sz w:val="32"/>
          <w:szCs w:val="24"/>
          <w:lang w:val="es-GT"/>
        </w:rPr>
        <w:t xml:space="preserve">ALGORITMO </w:t>
      </w:r>
      <w:r w:rsidR="009F137A">
        <w:rPr>
          <w:rFonts w:ascii="Times New Roman" w:hAnsi="Times New Roman" w:cs="Times New Roman"/>
          <w:b/>
          <w:sz w:val="32"/>
          <w:szCs w:val="24"/>
          <w:lang w:val="es-GT"/>
        </w:rPr>
        <w:t>FP-</w:t>
      </w:r>
      <w:r w:rsidR="00863C9C">
        <w:rPr>
          <w:rFonts w:ascii="Times New Roman" w:hAnsi="Times New Roman" w:cs="Times New Roman"/>
          <w:b/>
          <w:sz w:val="32"/>
          <w:szCs w:val="24"/>
          <w:lang w:val="es-GT"/>
        </w:rPr>
        <w:t>GROWTH</w:t>
      </w: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jc w:val="right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D2104">
        <w:rPr>
          <w:rFonts w:ascii="Times New Roman" w:hAnsi="Times New Roman" w:cs="Times New Roman"/>
          <w:b/>
          <w:sz w:val="24"/>
          <w:szCs w:val="24"/>
          <w:lang w:val="es-GT"/>
        </w:rPr>
        <w:t>Néstor Obdulio González López</w:t>
      </w:r>
    </w:p>
    <w:p w:rsidR="00563794" w:rsidRDefault="00563794" w:rsidP="00563794">
      <w:pPr>
        <w:jc w:val="right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D2104">
        <w:rPr>
          <w:rFonts w:ascii="Times New Roman" w:hAnsi="Times New Roman" w:cs="Times New Roman"/>
          <w:b/>
          <w:sz w:val="24"/>
          <w:szCs w:val="24"/>
          <w:lang w:val="es-GT"/>
        </w:rPr>
        <w:t>Carné: 999013150</w:t>
      </w:r>
    </w:p>
    <w:p w:rsidR="00A25AA1" w:rsidRDefault="00A25AA1" w:rsidP="00563794">
      <w:pPr>
        <w:jc w:val="right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A25AA1" w:rsidRPr="00863C9C" w:rsidRDefault="00A25AA1" w:rsidP="00563794">
      <w:pPr>
        <w:jc w:val="right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CB08A5" w:rsidRPr="00863C9C" w:rsidRDefault="00CB08A5" w:rsidP="007F6BB4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s-GT" w:eastAsia="es-GT"/>
        </w:rPr>
      </w:pPr>
      <w:r w:rsidRPr="00863C9C">
        <w:rPr>
          <w:rFonts w:ascii="Arial" w:hAnsi="Arial" w:cs="Arial"/>
          <w:b/>
          <w:sz w:val="24"/>
          <w:szCs w:val="24"/>
          <w:lang w:val="es-GT" w:eastAsia="es-GT"/>
        </w:rPr>
        <w:t>1. Regla 1: {MUNICIPIO=801} =&gt; {DEPARTAMENTO=8}</w:t>
      </w:r>
    </w:p>
    <w:p w:rsidR="00CB08A5" w:rsidRPr="00CB08A5" w:rsidRDefault="00CB08A5" w:rsidP="007F6BB4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Soporte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: 0.01015677</w:t>
      </w:r>
    </w:p>
    <w:p w:rsidR="00CB08A5" w:rsidRPr="00CB08A5" w:rsidRDefault="00CB08A5" w:rsidP="007F6BB4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Confianza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: 1 (100%)</w:t>
      </w:r>
    </w:p>
    <w:p w:rsidR="00CB08A5" w:rsidRPr="00CB08A5" w:rsidRDefault="00CB08A5" w:rsidP="007F6BB4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proofErr w:type="spellStart"/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Lift</w:t>
      </w:r>
      <w:proofErr w:type="spellEnd"/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: 37.63</w:t>
      </w:r>
    </w:p>
    <w:p w:rsidR="00CB08A5" w:rsidRPr="00CB08A5" w:rsidRDefault="00CB08A5" w:rsidP="007F6BB4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Interpretación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: Esta regla indica que cada vez que el municipio </w:t>
      </w:r>
      <w:r w:rsidR="00863C9C">
        <w:rPr>
          <w:rFonts w:ascii="Arial" w:eastAsia="Times New Roman" w:hAnsi="Arial" w:cs="Arial"/>
          <w:sz w:val="24"/>
          <w:szCs w:val="24"/>
          <w:lang w:val="es-GT" w:eastAsia="es-GT"/>
        </w:rPr>
        <w:t xml:space="preserve">de </w:t>
      </w:r>
      <w:r w:rsidR="008722C6">
        <w:rPr>
          <w:rFonts w:ascii="Arial" w:eastAsia="Times New Roman" w:hAnsi="Arial" w:cs="Arial"/>
          <w:sz w:val="24"/>
          <w:szCs w:val="24"/>
          <w:lang w:val="es-GT" w:eastAsia="es-GT"/>
        </w:rPr>
        <w:t>Totonicapán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, el departamento asociado es siempre </w:t>
      </w:r>
      <w:r w:rsidR="008722C6">
        <w:rPr>
          <w:rFonts w:ascii="Arial" w:eastAsia="Times New Roman" w:hAnsi="Arial" w:cs="Arial"/>
          <w:sz w:val="24"/>
          <w:szCs w:val="24"/>
          <w:lang w:val="es-GT" w:eastAsia="es-GT"/>
        </w:rPr>
        <w:t>Totonicapán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. La confianza del 100% significa que no hay ninguna excepción a esta regla en los datos. El </w:t>
      </w:r>
      <w:proofErr w:type="spellStart"/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lift</w:t>
      </w:r>
      <w:proofErr w:type="spellEnd"/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 es bastante alto (37.63), lo que implica que la asociación es muy fuerte.</w:t>
      </w:r>
    </w:p>
    <w:p w:rsidR="00CB08A5" w:rsidRPr="00CB08A5" w:rsidRDefault="00CB08A5" w:rsidP="007F6BB4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Relevancia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: Esta regla puede ser útil para verificar la consistencia de los datos y para entender la distribución territorial. Es relevante para los procesos de migración, ya que puede ayudar a identificar patrones migratorios específicos de esa región.</w:t>
      </w:r>
    </w:p>
    <w:p w:rsidR="00CB08A5" w:rsidRPr="00863C9C" w:rsidRDefault="00CB08A5" w:rsidP="007F6BB4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s-GT" w:eastAsia="es-GT"/>
        </w:rPr>
      </w:pPr>
      <w:r w:rsidRPr="00863C9C">
        <w:rPr>
          <w:rFonts w:ascii="Arial" w:hAnsi="Arial" w:cs="Arial"/>
          <w:b/>
          <w:sz w:val="24"/>
          <w:szCs w:val="24"/>
          <w:lang w:val="es-GT" w:eastAsia="es-GT"/>
        </w:rPr>
        <w:t>2. Regla 5: {MUNICIPIO=2101} =&gt; {DEPARTAMENTO=21}</w:t>
      </w:r>
    </w:p>
    <w:p w:rsidR="00CB08A5" w:rsidRPr="00CB08A5" w:rsidRDefault="00CB08A5" w:rsidP="007F6BB4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Soporte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: 0.01085040</w:t>
      </w:r>
    </w:p>
    <w:p w:rsidR="00CB08A5" w:rsidRPr="00CB08A5" w:rsidRDefault="00CB08A5" w:rsidP="007F6BB4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Confianza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: 1 (100%)</w:t>
      </w:r>
    </w:p>
    <w:p w:rsidR="00CB08A5" w:rsidRPr="00CB08A5" w:rsidRDefault="00CB08A5" w:rsidP="007F6BB4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proofErr w:type="spellStart"/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Lift</w:t>
      </w:r>
      <w:proofErr w:type="spellEnd"/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: 35.09</w:t>
      </w:r>
    </w:p>
    <w:p w:rsidR="00CB08A5" w:rsidRPr="00CB08A5" w:rsidRDefault="00CB08A5" w:rsidP="007F6BB4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Interpretación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: Al igual que la primera regla, esta establece </w:t>
      </w:r>
      <w:proofErr w:type="gramStart"/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que</w:t>
      </w:r>
      <w:proofErr w:type="gramEnd"/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 si una persona está registrada en el municipio </w:t>
      </w:r>
      <w:r w:rsidR="002A457F">
        <w:rPr>
          <w:rFonts w:ascii="Arial" w:eastAsia="Times New Roman" w:hAnsi="Arial" w:cs="Arial"/>
          <w:sz w:val="24"/>
          <w:szCs w:val="24"/>
          <w:lang w:val="es-GT" w:eastAsia="es-GT"/>
        </w:rPr>
        <w:t xml:space="preserve">de </w:t>
      </w:r>
      <w:r w:rsidR="00863C9C">
        <w:rPr>
          <w:rFonts w:ascii="Arial" w:eastAsia="Times New Roman" w:hAnsi="Arial" w:cs="Arial"/>
          <w:sz w:val="24"/>
          <w:szCs w:val="24"/>
          <w:lang w:val="es-GT" w:eastAsia="es-GT"/>
        </w:rPr>
        <w:t>Jalapa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, siempre estará en el departamento </w:t>
      </w:r>
      <w:r w:rsidR="00863C9C">
        <w:rPr>
          <w:rFonts w:ascii="Arial" w:eastAsia="Times New Roman" w:hAnsi="Arial" w:cs="Arial"/>
          <w:sz w:val="24"/>
          <w:szCs w:val="24"/>
          <w:lang w:val="es-GT" w:eastAsia="es-GT"/>
        </w:rPr>
        <w:t>de Jalapa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. Nuevamente, la confianza es del 100%, y el </w:t>
      </w:r>
      <w:proofErr w:type="spellStart"/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lift</w:t>
      </w:r>
      <w:proofErr w:type="spellEnd"/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 indica una asociación fuerte. Esta relación también es geográfica</w:t>
      </w:r>
      <w:r w:rsidR="002A457F">
        <w:rPr>
          <w:rFonts w:ascii="Arial" w:eastAsia="Times New Roman" w:hAnsi="Arial" w:cs="Arial"/>
          <w:sz w:val="24"/>
          <w:szCs w:val="24"/>
          <w:lang w:val="es-GT" w:eastAsia="es-GT"/>
        </w:rPr>
        <w:t>.</w:t>
      </w:r>
    </w:p>
    <w:p w:rsidR="00CB08A5" w:rsidRPr="00CB08A5" w:rsidRDefault="00CB08A5" w:rsidP="007F6BB4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lastRenderedPageBreak/>
        <w:t>Relevancia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: Puede ser útil para identificar flujos migratorios dentro del departamento </w:t>
      </w:r>
      <w:r w:rsidR="00863C9C">
        <w:rPr>
          <w:rFonts w:ascii="Arial" w:eastAsia="Times New Roman" w:hAnsi="Arial" w:cs="Arial"/>
          <w:sz w:val="24"/>
          <w:szCs w:val="24"/>
          <w:lang w:val="es-GT" w:eastAsia="es-GT"/>
        </w:rPr>
        <w:t>de Jalapa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 y evaluar si las migraciones tienden a ser internas dentro del mismo municipio o si hay tendencia a salir de la región.</w:t>
      </w:r>
    </w:p>
    <w:p w:rsidR="00CB08A5" w:rsidRPr="00863C9C" w:rsidRDefault="00CB08A5" w:rsidP="007F6BB4">
      <w:pPr>
        <w:spacing w:line="480" w:lineRule="auto"/>
        <w:jc w:val="both"/>
        <w:rPr>
          <w:rFonts w:ascii="Arial" w:hAnsi="Arial" w:cs="Arial"/>
          <w:b/>
          <w:sz w:val="24"/>
          <w:szCs w:val="24"/>
          <w:lang w:val="es-GT" w:eastAsia="es-GT"/>
        </w:rPr>
      </w:pPr>
      <w:r w:rsidRPr="00863C9C">
        <w:rPr>
          <w:rFonts w:ascii="Arial" w:hAnsi="Arial" w:cs="Arial"/>
          <w:b/>
          <w:sz w:val="24"/>
          <w:szCs w:val="24"/>
          <w:lang w:val="es-GT" w:eastAsia="es-GT"/>
        </w:rPr>
        <w:t>3. Regla 9: {MUNICIPIO=403} =&gt; {DEPARTAMENTO=4}</w:t>
      </w:r>
    </w:p>
    <w:p w:rsidR="00CB08A5" w:rsidRPr="00CB08A5" w:rsidRDefault="00CB08A5" w:rsidP="007F6BB4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Soporte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: 0.01171744</w:t>
      </w:r>
    </w:p>
    <w:p w:rsidR="00CB08A5" w:rsidRPr="00CB08A5" w:rsidRDefault="00CB08A5" w:rsidP="007F6BB4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Confianza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: 1 (100%)</w:t>
      </w:r>
    </w:p>
    <w:p w:rsidR="00CB08A5" w:rsidRPr="00CB08A5" w:rsidRDefault="00CB08A5" w:rsidP="007F6BB4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proofErr w:type="spellStart"/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Lift</w:t>
      </w:r>
      <w:proofErr w:type="spellEnd"/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: 28.20</w:t>
      </w:r>
    </w:p>
    <w:p w:rsidR="00CB08A5" w:rsidRPr="00CB08A5" w:rsidRDefault="00CB08A5" w:rsidP="007F6BB4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Interpretación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: Esta regla muestra que el municipio </w:t>
      </w:r>
      <w:r w:rsidR="00863C9C">
        <w:rPr>
          <w:rFonts w:ascii="Arial" w:eastAsia="Times New Roman" w:hAnsi="Arial" w:cs="Arial"/>
          <w:sz w:val="24"/>
          <w:szCs w:val="24"/>
          <w:lang w:val="es-GT" w:eastAsia="es-GT"/>
        </w:rPr>
        <w:t>de San Martín Jilotep</w:t>
      </w:r>
      <w:r w:rsidR="002A457F">
        <w:rPr>
          <w:rFonts w:ascii="Arial" w:eastAsia="Times New Roman" w:hAnsi="Arial" w:cs="Arial"/>
          <w:sz w:val="24"/>
          <w:szCs w:val="24"/>
          <w:lang w:val="es-GT" w:eastAsia="es-GT"/>
        </w:rPr>
        <w:t>e</w:t>
      </w:r>
      <w:r w:rsidR="00863C9C">
        <w:rPr>
          <w:rFonts w:ascii="Arial" w:eastAsia="Times New Roman" w:hAnsi="Arial" w:cs="Arial"/>
          <w:sz w:val="24"/>
          <w:szCs w:val="24"/>
          <w:lang w:val="es-GT" w:eastAsia="es-GT"/>
        </w:rPr>
        <w:t>que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, </w:t>
      </w:r>
      <w:r w:rsidR="002A457F">
        <w:rPr>
          <w:rFonts w:ascii="Arial" w:eastAsia="Times New Roman" w:hAnsi="Arial" w:cs="Arial"/>
          <w:sz w:val="24"/>
          <w:szCs w:val="24"/>
          <w:lang w:val="es-GT" w:eastAsia="es-GT"/>
        </w:rPr>
        <w:t>se encuentra asociado al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 departamento </w:t>
      </w:r>
      <w:r w:rsidR="002A457F">
        <w:rPr>
          <w:rFonts w:ascii="Arial" w:eastAsia="Times New Roman" w:hAnsi="Arial" w:cs="Arial"/>
          <w:sz w:val="24"/>
          <w:szCs w:val="24"/>
          <w:lang w:val="es-GT" w:eastAsia="es-GT"/>
        </w:rPr>
        <w:t>de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 </w:t>
      </w:r>
      <w:r w:rsidR="00863C9C">
        <w:rPr>
          <w:rFonts w:ascii="Arial" w:eastAsia="Times New Roman" w:hAnsi="Arial" w:cs="Arial"/>
          <w:sz w:val="24"/>
          <w:szCs w:val="24"/>
          <w:lang w:val="es-GT" w:eastAsia="es-GT"/>
        </w:rPr>
        <w:t>Chimaltenango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. Como las reglas anteriores, la confianza del 100% confirma que esta relación es fija y consistente en los datos, con un </w:t>
      </w:r>
      <w:proofErr w:type="spellStart"/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lift</w:t>
      </w:r>
      <w:proofErr w:type="spellEnd"/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 que sigue siendo significativo.</w:t>
      </w:r>
    </w:p>
    <w:p w:rsidR="00CB08A5" w:rsidRPr="00CB08A5" w:rsidRDefault="00CB08A5" w:rsidP="007F6BB4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Relevancia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: Para los estudios migratorios, esta regla puede ayudar a comprender las características migratorias específicas del municipio </w:t>
      </w:r>
      <w:r w:rsidR="00863C9C">
        <w:rPr>
          <w:rFonts w:ascii="Arial" w:eastAsia="Times New Roman" w:hAnsi="Arial" w:cs="Arial"/>
          <w:sz w:val="24"/>
          <w:szCs w:val="24"/>
          <w:lang w:val="es-GT" w:eastAsia="es-GT"/>
        </w:rPr>
        <w:t>de San Martín Jilotepeque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 en el contexto del departamento </w:t>
      </w:r>
      <w:r w:rsidR="00863C9C">
        <w:rPr>
          <w:rFonts w:ascii="Arial" w:eastAsia="Times New Roman" w:hAnsi="Arial" w:cs="Arial"/>
          <w:sz w:val="24"/>
          <w:szCs w:val="24"/>
          <w:lang w:val="es-GT" w:eastAsia="es-GT"/>
        </w:rPr>
        <w:t>Chimaltenango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.</w:t>
      </w:r>
    </w:p>
    <w:p w:rsidR="00CB08A5" w:rsidRPr="007F6BB4" w:rsidRDefault="00CB08A5" w:rsidP="007F6BB4">
      <w:pPr>
        <w:spacing w:line="480" w:lineRule="auto"/>
        <w:jc w:val="both"/>
        <w:rPr>
          <w:rFonts w:ascii="Arial" w:hAnsi="Arial" w:cs="Arial"/>
          <w:sz w:val="24"/>
          <w:szCs w:val="24"/>
          <w:lang w:val="es-GT" w:eastAsia="es-GT"/>
        </w:rPr>
      </w:pPr>
      <w:r w:rsidRPr="007F6BB4">
        <w:rPr>
          <w:rFonts w:ascii="Arial" w:hAnsi="Arial" w:cs="Arial"/>
          <w:sz w:val="24"/>
          <w:szCs w:val="24"/>
          <w:lang w:val="es-GT" w:eastAsia="es-GT"/>
        </w:rPr>
        <w:t>Conclusiones generales:</w:t>
      </w:r>
    </w:p>
    <w:p w:rsidR="00CB08A5" w:rsidRPr="00CB08A5" w:rsidRDefault="00CB08A5" w:rsidP="007F6BB4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Estas reglas ayudan a confirmar la coherencia de las divisiones geográficas en el </w:t>
      </w:r>
      <w:proofErr w:type="spellStart"/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dataset</w:t>
      </w:r>
      <w:proofErr w:type="spellEnd"/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.</w:t>
      </w:r>
    </w:p>
    <w:p w:rsidR="00CB08A5" w:rsidRPr="00CB08A5" w:rsidRDefault="00CB08A5" w:rsidP="007F6BB4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 xml:space="preserve">Las relaciones encontradas son consistentes, lo que valida la integridad de los datos en términos de la asociación </w:t>
      </w:r>
      <w:r w:rsidRPr="007F6BB4">
        <w:rPr>
          <w:rFonts w:ascii="Arial" w:eastAsia="Times New Roman" w:hAnsi="Arial" w:cs="Arial"/>
          <w:sz w:val="24"/>
          <w:szCs w:val="24"/>
          <w:lang w:val="es-GT" w:eastAsia="es-GT"/>
        </w:rPr>
        <w:t>MUNICIPIO-DEPARTAMENTO</w:t>
      </w: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t>.</w:t>
      </w:r>
    </w:p>
    <w:p w:rsidR="00CB08A5" w:rsidRPr="00CB08A5" w:rsidRDefault="00CB08A5" w:rsidP="007F6BB4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 w:rsidRPr="00CB08A5">
        <w:rPr>
          <w:rFonts w:ascii="Arial" w:eastAsia="Times New Roman" w:hAnsi="Arial" w:cs="Arial"/>
          <w:sz w:val="24"/>
          <w:szCs w:val="24"/>
          <w:lang w:val="es-GT" w:eastAsia="es-GT"/>
        </w:rPr>
        <w:lastRenderedPageBreak/>
        <w:t>Estos patrones pueden ser utilizados para validar datos nuevos que se ingresen, asegurando que no haya inconsistencias en las relaciones geográficas.</w:t>
      </w:r>
    </w:p>
    <w:p w:rsidR="00CB08A5" w:rsidRPr="00CB08A5" w:rsidRDefault="00E75370" w:rsidP="007F6BB4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B3F7DA">
            <wp:simplePos x="0" y="0"/>
            <wp:positionH relativeFrom="column">
              <wp:posOffset>94836</wp:posOffset>
            </wp:positionH>
            <wp:positionV relativeFrom="paragraph">
              <wp:posOffset>783342</wp:posOffset>
            </wp:positionV>
            <wp:extent cx="5828030" cy="4114800"/>
            <wp:effectExtent l="0" t="0" r="1270" b="0"/>
            <wp:wrapTight wrapText="bothSides">
              <wp:wrapPolygon edited="0">
                <wp:start x="0" y="0"/>
                <wp:lineTo x="0" y="21500"/>
                <wp:lineTo x="21534" y="21500"/>
                <wp:lineTo x="2153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08A5" w:rsidRPr="007F6BB4">
        <w:rPr>
          <w:rFonts w:ascii="Arial" w:eastAsia="Times New Roman" w:hAnsi="Arial" w:cs="Arial"/>
          <w:b/>
          <w:bCs/>
          <w:sz w:val="24"/>
          <w:szCs w:val="24"/>
          <w:lang w:val="es-GT" w:eastAsia="es-GT"/>
        </w:rPr>
        <w:t>Recomendación</w:t>
      </w:r>
      <w:r w:rsidR="00CB08A5" w:rsidRPr="00CB08A5">
        <w:rPr>
          <w:rFonts w:ascii="Arial" w:eastAsia="Times New Roman" w:hAnsi="Arial" w:cs="Arial"/>
          <w:sz w:val="24"/>
          <w:szCs w:val="24"/>
          <w:lang w:val="es-GT" w:eastAsia="es-GT"/>
        </w:rPr>
        <w:t>: Investigar si hay variaciones en términos de migración cuando se evalúan zonas o grupos etarios específicos para ver si estos patrones cambian.</w:t>
      </w:r>
    </w:p>
    <w:p w:rsidR="00E75370" w:rsidRDefault="00E75370"/>
    <w:p w:rsidR="00E75370" w:rsidRDefault="00E75370"/>
    <w:p w:rsidR="00E75370" w:rsidRDefault="0020071A">
      <w:bookmarkStart w:id="0" w:name="_GoBack"/>
      <w:r>
        <w:rPr>
          <w:noProof/>
        </w:rPr>
        <w:lastRenderedPageBreak/>
        <w:drawing>
          <wp:inline distT="0" distB="0" distL="0" distR="0" wp14:anchorId="4179AA35">
            <wp:extent cx="5939155" cy="3673503"/>
            <wp:effectExtent l="0" t="0" r="444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82" cy="3680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20071A" w:rsidRDefault="0020071A"/>
    <w:p w:rsidR="002114B3" w:rsidRDefault="002114B3" w:rsidP="00CF5DFE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>
        <w:rPr>
          <w:rFonts w:ascii="Arial" w:eastAsia="Times New Roman" w:hAnsi="Arial" w:cs="Arial"/>
          <w:noProof/>
          <w:sz w:val="24"/>
          <w:szCs w:val="24"/>
          <w:lang w:val="es-GT" w:eastAsia="es-GT"/>
        </w:rPr>
        <w:drawing>
          <wp:inline distT="0" distB="0" distL="0" distR="0" wp14:anchorId="35A2314C">
            <wp:extent cx="5462270" cy="3764734"/>
            <wp:effectExtent l="0" t="0" r="508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187" cy="377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14B3" w:rsidRPr="00F61F17" w:rsidRDefault="002114B3" w:rsidP="00CF5DFE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s-GT" w:eastAsia="es-GT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Rectángulo 3" descr="http://127.0.0.1:33335/chunk_output/7DAC3542754e10f3/02E38970/cp6u6kphlpkcy/000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30FF6D" id="Rectángulo 3" o:spid="_x0000_s1026" alt="http://127.0.0.1:33335/chunk_output/7DAC3542754e10f3/02E38970/cp6u6kphlpkcy/000012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20071A" w:rsidRDefault="0020071A"/>
    <w:p w:rsidR="00E75370" w:rsidRDefault="00E75370"/>
    <w:p w:rsidR="00E75370" w:rsidRDefault="00E75370"/>
    <w:p w:rsidR="0068441F" w:rsidRDefault="0068441F"/>
    <w:sectPr w:rsidR="0068441F" w:rsidSect="009F2DBA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2798"/>
    <w:multiLevelType w:val="multilevel"/>
    <w:tmpl w:val="5EC0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B7291"/>
    <w:multiLevelType w:val="multilevel"/>
    <w:tmpl w:val="0EAE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3223D"/>
    <w:multiLevelType w:val="multilevel"/>
    <w:tmpl w:val="791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47954"/>
    <w:multiLevelType w:val="multilevel"/>
    <w:tmpl w:val="9BCA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B7FB7"/>
    <w:multiLevelType w:val="multilevel"/>
    <w:tmpl w:val="C372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D1020"/>
    <w:multiLevelType w:val="multilevel"/>
    <w:tmpl w:val="9E6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B3FC2"/>
    <w:multiLevelType w:val="multilevel"/>
    <w:tmpl w:val="76D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94"/>
    <w:rsid w:val="00030F2A"/>
    <w:rsid w:val="00196206"/>
    <w:rsid w:val="0020071A"/>
    <w:rsid w:val="002114B3"/>
    <w:rsid w:val="002A457F"/>
    <w:rsid w:val="002E5548"/>
    <w:rsid w:val="003A5B74"/>
    <w:rsid w:val="00520566"/>
    <w:rsid w:val="00563794"/>
    <w:rsid w:val="005A2CD0"/>
    <w:rsid w:val="005E6C39"/>
    <w:rsid w:val="005F73F6"/>
    <w:rsid w:val="005F7E11"/>
    <w:rsid w:val="00674A07"/>
    <w:rsid w:val="0068441F"/>
    <w:rsid w:val="007604DD"/>
    <w:rsid w:val="007F6BB4"/>
    <w:rsid w:val="00863C9C"/>
    <w:rsid w:val="008722C6"/>
    <w:rsid w:val="008E4575"/>
    <w:rsid w:val="00917060"/>
    <w:rsid w:val="00920E58"/>
    <w:rsid w:val="009E0F4D"/>
    <w:rsid w:val="009F137A"/>
    <w:rsid w:val="009F2DBA"/>
    <w:rsid w:val="00A25AA1"/>
    <w:rsid w:val="00CB08A5"/>
    <w:rsid w:val="00CF5DFE"/>
    <w:rsid w:val="00D51F24"/>
    <w:rsid w:val="00E75370"/>
    <w:rsid w:val="00F6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621650D"/>
  <w15:chartTrackingRefBased/>
  <w15:docId w15:val="{3020C870-E579-4CB8-B6DC-34BADDAB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794"/>
  </w:style>
  <w:style w:type="paragraph" w:styleId="Ttulo3">
    <w:name w:val="heading 3"/>
    <w:basedOn w:val="Normal"/>
    <w:link w:val="Ttulo3Car"/>
    <w:uiPriority w:val="9"/>
    <w:qFormat/>
    <w:rsid w:val="00CB0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0F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0F4D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B08A5"/>
    <w:rPr>
      <w:rFonts w:ascii="Times New Roman" w:eastAsia="Times New Roman" w:hAnsi="Times New Roman" w:cs="Times New Roman"/>
      <w:b/>
      <w:bCs/>
      <w:sz w:val="27"/>
      <w:szCs w:val="27"/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CB08A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B08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6</Pages>
  <Words>399</Words>
  <Characters>2334</Characters>
  <Application>Microsoft Office Word</Application>
  <DocSecurity>0</DocSecurity>
  <Lines>80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gonzalez</dc:creator>
  <cp:keywords/>
  <dc:description/>
  <cp:lastModifiedBy>nestor gonzalez</cp:lastModifiedBy>
  <cp:revision>14</cp:revision>
  <dcterms:created xsi:type="dcterms:W3CDTF">2024-10-10T23:05:00Z</dcterms:created>
  <dcterms:modified xsi:type="dcterms:W3CDTF">2024-10-25T03:41:00Z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17d9185aee8d414aa7a972daa754405800dc9d9ae0b63f8b2dd0c4b5836c4150</vt:lpwstr>
  </property>
</Properties>
</file>