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left="0" w:right="60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as fontes utilizadas para o financiamento às artes no período de 2020 a 2023?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Captação de recursos complementares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Captação de recursos privados, com ou sem incentivo fiscal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Dotações orçamentárias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Fundos públicos destinados às políticas públicas culturais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Outras fontes ou mecanismos previstos em legislação específica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Rendimentos obtidos durante a execução da ação cultural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Outra(s). Especifique: ______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C">
      <w:pPr>
        <w:ind w:right="600"/>
        <w:jc w:val="both"/>
        <w:rPr/>
      </w:pPr>
      <w:r w:rsidDel="00000000" w:rsidR="00000000" w:rsidRPr="00000000">
        <w:rPr>
          <w:rtl w:val="0"/>
        </w:rPr>
        <w:t xml:space="preserve">Esta pergunta busca identificar quais foram as fontes utilizadas para o financiamento às artes no período de 2020 a 2023.</w:t>
      </w:r>
    </w:p>
    <w:p w:rsidR="00000000" w:rsidDel="00000000" w:rsidP="00000000" w:rsidRDefault="00000000" w:rsidRPr="00000000" w14:paraId="0000000D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0F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Analise as opções: Leia atentamente cada uma das opções apresentadas.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Selecione as opções: Escolha aquelas que correspondem às fontes de financiamento para as artes no período em questão.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Opção "Outra(s)": Marque esta opção somente se houver uma fonte de financiamento não listada e especifique sua escolha.</w:t>
      </w:r>
    </w:p>
    <w:p w:rsidR="00000000" w:rsidDel="00000000" w:rsidP="00000000" w:rsidRDefault="00000000" w:rsidRPr="00000000" w14:paraId="00000013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Descrição das alternativas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right="60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Captação de recursos complementares:</w:t>
      </w:r>
      <w:r w:rsidDel="00000000" w:rsidR="00000000" w:rsidRPr="00000000">
        <w:rPr>
          <w:rtl w:val="0"/>
        </w:rPr>
        <w:t xml:space="preserve"> Obtenção de recursos adicionais de outras fontes para complementar o orçamento inicial da ação cultural.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right="60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Captação de recursos privados, com ou sem incentivo fiscal:</w:t>
      </w:r>
      <w:r w:rsidDel="00000000" w:rsidR="00000000" w:rsidRPr="00000000">
        <w:rPr>
          <w:rtl w:val="0"/>
        </w:rPr>
        <w:t xml:space="preserve"> Financiamento obtido de empresas ou indivíduos privados, podendo estar atrelado a incentivos fiscais, como leis de incentivo à cultura.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right="600" w:hanging="360"/>
        <w:jc w:val="both"/>
        <w:rPr/>
      </w:pPr>
      <w:r w:rsidDel="00000000" w:rsidR="00000000" w:rsidRPr="00000000">
        <w:rPr>
          <w:b w:val="1"/>
          <w:rtl w:val="0"/>
        </w:rPr>
        <w:t xml:space="preserve">Dotações orçamentárias:</w:t>
      </w:r>
      <w:r w:rsidDel="00000000" w:rsidR="00000000" w:rsidRPr="00000000">
        <w:rPr>
          <w:rtl w:val="0"/>
        </w:rPr>
        <w:t xml:space="preserve"> Recursos previstos no orçamento público, destinados ao financiamento de atividades culturais e artísticas.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right="600" w:hanging="360"/>
        <w:jc w:val="both"/>
        <w:rPr/>
      </w:pPr>
      <w:r w:rsidDel="00000000" w:rsidR="00000000" w:rsidRPr="00000000">
        <w:rPr>
          <w:b w:val="1"/>
          <w:rtl w:val="0"/>
        </w:rPr>
        <w:t xml:space="preserve">Fundos públicos destinados às políticas públicas culturais:</w:t>
      </w:r>
      <w:r w:rsidDel="00000000" w:rsidR="00000000" w:rsidRPr="00000000">
        <w:rPr>
          <w:rtl w:val="0"/>
        </w:rPr>
        <w:t xml:space="preserve"> Fundos criados pelo governo para apoiar políticas, projetos e programas culturais específicos, como fundos estaduais ou municipais de cultura.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right="600" w:hanging="360"/>
        <w:jc w:val="both"/>
        <w:rPr/>
      </w:pPr>
      <w:r w:rsidDel="00000000" w:rsidR="00000000" w:rsidRPr="00000000">
        <w:rPr>
          <w:b w:val="1"/>
          <w:rtl w:val="0"/>
        </w:rPr>
        <w:t xml:space="preserve">Outras fontes ou mecanismos previstos em legislação específica:</w:t>
      </w:r>
      <w:r w:rsidDel="00000000" w:rsidR="00000000" w:rsidRPr="00000000">
        <w:rPr>
          <w:rtl w:val="0"/>
        </w:rPr>
        <w:t xml:space="preserve"> Fontes de financiamento previstas em leis específicas que regulam o fomento à Cultura.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right="60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Rendimentos obtidos durante a execução da ação cultural:</w:t>
      </w:r>
      <w:r w:rsidDel="00000000" w:rsidR="00000000" w:rsidRPr="00000000">
        <w:rPr>
          <w:rtl w:val="0"/>
        </w:rPr>
        <w:t xml:space="preserve"> Rendimentos de ativos financeiros obtidos durante a execução do projeto cultural.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Bw4amuJpLDH9s42LzhuY+AhyBQ==">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