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jc w:val="both"/>
        <w:rPr/>
      </w:pPr>
      <w:r w:rsidDel="00000000" w:rsidR="00000000" w:rsidRPr="00000000">
        <w:rPr>
          <w:rtl w:val="0"/>
        </w:rPr>
        <w:t xml:space="preserve">Quais foram as modalidades de instrumentos utilizadas para o fomento às linguagens artísticas nos editais da LAB publicados entre 2020 e 2021?</w:t>
      </w:r>
    </w:p>
    <w:p w:rsidR="00000000" w:rsidDel="00000000" w:rsidP="00000000" w:rsidRDefault="00000000" w:rsidRPr="00000000" w14:paraId="00000003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Apoio a espaços culturais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Apoio à execução de ações culturais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Bolsas culturais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Cooperação cultural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Ocupação cultural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Premiação cultural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cu6lsyh6qdwa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  <w:t xml:space="preserve">Esta questão busca identificar os diferentes instrumentos que foram utilizados para apoiar e promover as diversas linguagens artísticas entre 2020 e 2021.</w:t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F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aos tipos de instrumentos utilizados para o fomento às linguagens artísticas.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as modalidades de instrumentos utilizados não estiverem entre as alternativas listadas e especifique sua resposta.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Para conhecer mais sobre as modalidades dos instrumentos, consulte o detalhamento previsto no Capítulo II da Lei 14.903 de 27 de junho de 2024, conhecida como Marco do Fomento.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alternativas</w:t>
      </w:r>
    </w:p>
    <w:p w:rsidR="00000000" w:rsidDel="00000000" w:rsidP="00000000" w:rsidRDefault="00000000" w:rsidRPr="00000000" w14:paraId="00000017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a espaços culturais:</w:t>
      </w:r>
      <w:r w:rsidDel="00000000" w:rsidR="00000000" w:rsidRPr="00000000">
        <w:rPr>
          <w:rtl w:val="0"/>
        </w:rPr>
        <w:t xml:space="preserve"> Apoio para manutenção e desenvolvimento de teatros, museus, centros culturais e outros espaços destinados à promoção de atividades culturais.</w:t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600"/>
        <w:rPr/>
      </w:pPr>
      <w:r w:rsidDel="00000000" w:rsidR="00000000" w:rsidRPr="00000000">
        <w:rPr>
          <w:b w:val="1"/>
          <w:rtl w:val="0"/>
        </w:rPr>
        <w:t xml:space="preserve">Apoio à execução de ações culturais:</w:t>
      </w:r>
      <w:r w:rsidDel="00000000" w:rsidR="00000000" w:rsidRPr="00000000">
        <w:rPr>
          <w:rtl w:val="0"/>
        </w:rPr>
        <w:t xml:space="preserve"> Incentivo para a realização de ações culturais, com repasse de recursos pela administração pública.</w:t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b w:val="1"/>
          <w:rtl w:val="0"/>
        </w:rPr>
        <w:t xml:space="preserve">Bolsas culturais:</w:t>
      </w:r>
      <w:r w:rsidDel="00000000" w:rsidR="00000000" w:rsidRPr="00000000">
        <w:rPr>
          <w:rtl w:val="0"/>
        </w:rPr>
        <w:t xml:space="preserve"> Auxílio financeiro a indivíduos para o desenvolvimento de pesquisas ou estudos na área da cultura, com repasse da administração pública.</w:t>
        <w:br w:type="textWrapping"/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b w:val="1"/>
          <w:rtl w:val="0"/>
        </w:rPr>
        <w:t xml:space="preserve">Cooperação cultural: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Visa</w:t>
      </w:r>
      <w:r w:rsidDel="00000000" w:rsidR="00000000" w:rsidRPr="00000000">
        <w:rPr>
          <w:rtl w:val="0"/>
        </w:rPr>
        <w:t xml:space="preserve"> promover ações de interesse recíproco, não envolvendo repasse de recursos pela administração pública. A celebração do termo decorre de ação discricionária da administração pública, sem a necessidade de chamamento público.</w:t>
      </w:r>
    </w:p>
    <w:p w:rsidR="00000000" w:rsidDel="00000000" w:rsidP="00000000" w:rsidRDefault="00000000" w:rsidRPr="00000000" w14:paraId="0000001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600"/>
        <w:rPr/>
      </w:pPr>
      <w:r w:rsidDel="00000000" w:rsidR="00000000" w:rsidRPr="00000000">
        <w:rPr>
          <w:b w:val="1"/>
          <w:rtl w:val="0"/>
        </w:rPr>
        <w:t xml:space="preserve">Ocupação cultural: </w:t>
      </w:r>
      <w:r w:rsidDel="00000000" w:rsidR="00000000" w:rsidRPr="00000000">
        <w:rPr>
          <w:rtl w:val="0"/>
        </w:rPr>
        <w:t xml:space="preserve">Incentivos ou recursos para a utilização ordinária de equipamentos públicos para a realização de atividades culturais diversas, sem repasse de recursos pela administração pública.</w:t>
      </w:r>
    </w:p>
    <w:p w:rsidR="00000000" w:rsidDel="00000000" w:rsidP="00000000" w:rsidRDefault="00000000" w:rsidRPr="00000000" w14:paraId="00000020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600"/>
        <w:rPr/>
      </w:pPr>
      <w:r w:rsidDel="00000000" w:rsidR="00000000" w:rsidRPr="00000000">
        <w:rPr>
          <w:b w:val="1"/>
          <w:rtl w:val="0"/>
        </w:rPr>
        <w:t xml:space="preserve">Premiação cultural:</w:t>
      </w:r>
      <w:r w:rsidDel="00000000" w:rsidR="00000000" w:rsidRPr="00000000">
        <w:rPr>
          <w:rtl w:val="0"/>
        </w:rPr>
        <w:t xml:space="preserve"> Premiação a indivíduos ou grupos pela relevância de sua contribuição para a cultura. Envolve a transferência de recursos públicos a título de doação, sem encargo ou estabelecimento de obrigações futuras.</w:t>
      </w:r>
    </w:p>
    <w:p w:rsidR="00000000" w:rsidDel="00000000" w:rsidP="00000000" w:rsidRDefault="00000000" w:rsidRPr="00000000" w14:paraId="00000022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RT1dgOyjzijyhXdGxVAWqm9RoA==">CgMxLjAyCGguZ2pkZ3hzMg5oLmN1NmxzeWg2cWR3YTgAaiYKFHN1Z2dlc3Qua20wYzl0cG1rNHdvEg5KYWxpbnNvbiBTaWx2YWomChRzdWdnZXN0Ljh5eGgxN2djbXZqMxIOSmFsaW5zb24gU2lsdmFqJgoUc3VnZ2VzdC45ZGFtaG92bTZhbWMSDkphbGluc29uIFNpbHZhai4KFHN1Z2dlc3QuMXZhNzBucGd4ZTlsEhZEYW5pZWxlIFBlcmVpcmEgQ2FuZWRvajAKFHN1Z2dlc3QuOWhkazNxb3hucjZnEhhUYXRpYW5hIFJpY2hhcmQgLSBSaXpvbWFqJgoUc3VnZ2VzdC45Z2VtZml3d2g0OTASDkphbGluc29uIFNpbHZhaiYKFHN1Z2dlc3QuNGc4NjB2eHBwenN0Eg5KYWxpbnNvbiBTaWx2YXIhMUx0aF9DTkN4WDhMLTdqbWM1N2hta2NMakFhR1hKUz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