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rPr/>
      </w:pPr>
      <w:r w:rsidDel="00000000" w:rsidR="00000000" w:rsidRPr="00000000">
        <w:rPr>
          <w:rtl w:val="0"/>
        </w:rPr>
        <w:t xml:space="preserve">Qual o tipo do principal organismo responsável pela gestão das artes?</w:t>
      </w:r>
    </w:p>
    <w:p w:rsidR="00000000" w:rsidDel="00000000" w:rsidP="00000000" w:rsidRDefault="00000000" w:rsidRPr="00000000" w14:paraId="00000003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Coordenadoria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Diretoria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Fundação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Secretaria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Subsecretaria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Superintendência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Outro(s). Especifique: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  <w:t xml:space="preserve">Esta pergunta tem como objetivo auxiliar na identificação do tipo do organismo, responsável pela gestão das artes em seu estado ou município.</w:t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2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600" w:hanging="360"/>
        <w:jc w:val="both"/>
        <w:rPr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600" w:hanging="360"/>
        <w:jc w:val="both"/>
        <w:rPr/>
      </w:pPr>
      <w:r w:rsidDel="00000000" w:rsidR="00000000" w:rsidRPr="00000000">
        <w:rPr>
          <w:rtl w:val="0"/>
        </w:rPr>
        <w:t xml:space="preserve">Selecione apenas uma opção: identifique o tipo de organismo responsável pela gestão das artes em seu estado ou município. Por favor, busque similaridades como os seguintes exemplos: no caso de “Coordenação”, selecione “Coordenadoria”; no caso de "Direção”, selecione “Diretoria”, e assim por diante.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600" w:hanging="360"/>
        <w:jc w:val="both"/>
        <w:rPr/>
      </w:pPr>
      <w:r w:rsidDel="00000000" w:rsidR="00000000" w:rsidRPr="00000000">
        <w:rPr>
          <w:rtl w:val="0"/>
        </w:rPr>
        <w:t xml:space="preserve">Opção "Outro(s)": Marque esta opção somente se não houver nenhuma nomenclatura adequada entre as já listadas e especifique sua escolha.</w:t>
      </w:r>
    </w:p>
    <w:p w:rsidR="00000000" w:rsidDel="00000000" w:rsidP="00000000" w:rsidRDefault="00000000" w:rsidRPr="00000000" w14:paraId="00000016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LNA+PG5/fg7tJ6hoYJKwMOUKw==">CgMxLjAyCGguZ2pkZ3hzMgloLjMwajB6bGw4AGowChRzdWdnZXN0LmI3Z2s0bHhhZDFhYRIYVGF0aWFuYSBSaWNoYXJkIC0gUml6b21hciExR01MRENjWTRYdTZkTk5Eclh5SEdLNHJYSEtnVEs4Ujc=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