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Caso existam outros organismos responsáveis pela gestão das artes, informar o título e função.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right="600" w:hanging="360"/>
      </w:pPr>
      <w:r w:rsidDel="00000000" w:rsidR="00000000" w:rsidRPr="00000000">
        <w:rPr>
          <w:rtl w:val="0"/>
        </w:rPr>
        <w:t xml:space="preserve">(campo para resposta aberta de texto)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  <w:t xml:space="preserve">Responda a esta pergunta somente se, além do órgão identificado na pergunta 3 como gestor das artes, houver outro organismo específico envolvido na gestão das artes no seu estado ou município. Caso a gestão das artes seja exclusiva do órgão  mencionado na pergunta 3, avance para a próxima questão do questionário.</w:t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Seja o mais específico possível ao informar o título e a função, incluindo a sigla do organismo, caso exista.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Evite abreviações ou termos genéricos que possam gerar ambiguidade.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Certifique-se de que as informações estejam corretas e atualizadas.</w:t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  <w:t xml:space="preserve">Se, além da Diretoria de Artes da Secretaria de Estado de Cultura, a Fundação de Amparo à Pesquisa e à Cultura (FAPC) também estiver envolvida na gestão das artes, atuando no financiamento de projetos artísticos e culturais, na promoção de pesquisas ou na realização de eventos culturais, inclua as seguintes informações:</w:t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 do Organismo:</w:t>
      </w:r>
      <w:r w:rsidDel="00000000" w:rsidR="00000000" w:rsidRPr="00000000">
        <w:rPr>
          <w:rtl w:val="0"/>
        </w:rPr>
        <w:t xml:space="preserve"> Fundação de Amparo à Pesquisa e à Cultura (FAPC)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Funções e Responsabilidades</w:t>
      </w:r>
      <w:r w:rsidDel="00000000" w:rsidR="00000000" w:rsidRPr="00000000">
        <w:rPr>
          <w:rtl w:val="0"/>
        </w:rPr>
        <w:t xml:space="preserve">: Financiamento de projetos artísticos e culturais, promoção de pesquisas e realização de eventos culturais.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pPTxoejzjg7VxXtYxgd/nNsMw==">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