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A2B4A"/>
          <w:spacing w:val="100"/>
          <w:sz w:val="60"/>
          <w:szCs w:val="60"/>
        </w:rPr>
        <w:t xml:space="preserve">OBED OWUSU</w:t>
      </w:r>
    </w:p>
    <w:p>
      <w:pPr>
        <w:spacing w:after="100" w:before="0"/>
      </w:pPr>
      <w:r>
        <w:rPr>
          <w:rFonts w:ascii="Calibri" w:cs="Calibri" w:eastAsia="Calibri" w:hAnsi="Calibri"/>
          <w:b/>
          <w:bCs/>
          <w:color w:val="0B7285"/>
          <w:sz w:val="23"/>
          <w:szCs w:val="23"/>
        </w:rPr>
        <w:t xml:space="preserve">Azure Infrastructure Engineer  |  Azure Governance &amp; Cloud Automation</w:t>
      </w:r>
    </w:p>
    <w:p>
      <w:pPr>
        <w:spacing w:after="40" w:before="0"/>
      </w:pPr>
      <w:r>
        <w:rPr>
          <w:rFonts w:ascii="Calibri" w:cs="Calibri" w:eastAsia="Calibri" w:hAnsi="Calibri"/>
          <w:color w:val="6B7280"/>
          <w:sz w:val="18"/>
          <w:szCs w:val="18"/>
        </w:rPr>
        <w:t xml:space="preserve">Harlow, Essex, UK</w:t>
      </w:r>
      <w:r>
        <w:rPr>
          <w:rFonts w:ascii="Calibri" w:cs="Calibri" w:eastAsia="Calibri" w:hAnsi="Calibri"/>
          <w:color w:val="0B7285"/>
          <w:sz w:val="18"/>
          <w:szCs w:val="18"/>
        </w:rPr>
        <w:t xml:space="preserve">   ■   </w:t>
      </w:r>
      <w:r>
        <w:rPr>
          <w:rFonts w:ascii="Calibri" w:cs="Calibri" w:eastAsia="Calibri" w:hAnsi="Calibri"/>
          <w:color w:val="6B7280"/>
          <w:sz w:val="18"/>
          <w:szCs w:val="18"/>
        </w:rPr>
        <w:t xml:space="preserve">07859 358022</w:t>
      </w:r>
      <w:r>
        <w:rPr>
          <w:rFonts w:ascii="Calibri" w:cs="Calibri" w:eastAsia="Calibri" w:hAnsi="Calibri"/>
          <w:color w:val="0B7285"/>
          <w:sz w:val="18"/>
          <w:szCs w:val="18"/>
        </w:rPr>
        <w:t xml:space="preserve">   ■   </w:t>
      </w:r>
      <w:r>
        <w:rPr>
          <w:rFonts w:ascii="Calibri" w:cs="Calibri" w:eastAsia="Calibri" w:hAnsi="Calibri"/>
          <w:color w:val="6B7280"/>
          <w:sz w:val="18"/>
          <w:szCs w:val="18"/>
        </w:rPr>
        <w:t xml:space="preserve">owusuobed15@yahoo.com</w:t>
      </w:r>
      <w:r>
        <w:rPr>
          <w:rFonts w:ascii="Calibri" w:cs="Calibri" w:eastAsia="Calibri" w:hAnsi="Calibri"/>
          <w:color w:val="0B7285"/>
          <w:sz w:val="18"/>
          <w:szCs w:val="18"/>
        </w:rPr>
        <w:t xml:space="preserve">   ■   </w:t>
      </w:r>
      <w:r>
        <w:rPr>
          <w:rFonts w:ascii="Calibri" w:cs="Calibri" w:eastAsia="Calibri" w:hAnsi="Calibri"/>
          <w:b/>
          <w:bCs/>
          <w:color w:val="6B7280"/>
          <w:sz w:val="18"/>
          <w:szCs w:val="18"/>
        </w:rPr>
        <w:t xml:space="preserve">Web: </w:t>
      </w:r>
      <w:hyperlink w:history="1" r:id="rIdcsj-qrschxp-8gwxxxakw">
        <w:r>
          <w:rPr>
            <w:rFonts w:ascii="Calibri" w:cs="Calibri" w:eastAsia="Calibri" w:hAnsi="Calibri"/>
            <w:color w:val="0B7285"/>
            <w:sz w:val="18"/>
            <w:szCs w:val="18"/>
            <w:u w:val="single" w:color="0B7285"/>
          </w:rPr>
          <w:t xml:space="preserve">oowusu.com</w:t>
        </w:r>
      </w:hyperlink>
    </w:p>
    <w:p>
      <w:pPr>
        <w:spacing w:after="0" w:before="0"/>
      </w:pPr>
      <w:r>
        <w:rPr>
          <w:rFonts w:ascii="Calibri" w:cs="Calibri" w:eastAsia="Calibri" w:hAnsi="Calibri"/>
          <w:b/>
          <w:bCs/>
          <w:color w:val="6B7280"/>
          <w:sz w:val="18"/>
          <w:szCs w:val="18"/>
        </w:rPr>
        <w:t xml:space="preserve">LinkedIn: </w:t>
      </w:r>
      <w:hyperlink w:history="1" r:id="rId5k024rnjxy1hbe8sw9m-v">
        <w:r>
          <w:rPr>
            <w:rFonts w:ascii="Calibri" w:cs="Calibri" w:eastAsia="Calibri" w:hAnsi="Calibri"/>
            <w:color w:val="0B7285"/>
            <w:sz w:val="18"/>
            <w:szCs w:val="18"/>
            <w:u w:val="single" w:color="0B7285"/>
          </w:rPr>
          <w:t xml:space="preserve">linkedin.com/in/obed-owusu15</w:t>
        </w:r>
      </w:hyperlink>
    </w:p>
    <w:p>
      <w:pPr>
        <w:pBdr>
          <w:bottom w:val="single" w:color="0B7285" w:sz="24" w:space="1"/>
        </w:pBdr>
        <w:spacing w:after="0" w:before="140"/>
      </w:pPr>
    </w:p>
    <w:p>
      <w:pPr>
        <w:spacing w:after="0" w:before="80"/>
      </w:pP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900"/>
        <w:gridCol w:w="120"/>
        <w:gridCol w:w="8420"/>
      </w:tblGrid>
      <w:tr>
        <w:tc>
          <w:tcPr>
            <w:tcW w:type="dxa" w:w="1900"/>
            <w:tcBorders>
              <w:top w:val="none" w:color="FFFFFF" w:sz="0"/>
              <w:left w:val="none" w:color="FFFFFF" w:sz="0"/>
              <w:bottom w:val="none" w:color="FFFFFF" w:sz="0"/>
              <w:right w:val="none" w:color="FFFFFF" w:sz="0"/>
            </w:tcBorders>
            <w:tcMar>
              <w:top w:type="dxa" w:w="120"/>
              <w:left w:type="dxa" w:w="0"/>
              <w:bottom w:type="dxa" w:w="0"/>
              <w:right w:type="dxa" w:w="80"/>
            </w:tcMar>
            <w:vAlign w:val="top"/>
          </w:tcPr>
          <w:p>
            <w:pPr>
              <w:spacing w:after="0" w:before="0"/>
            </w:pPr>
            <w:r>
              <w:rPr>
                <w:rFonts w:ascii="Calibri" w:cs="Calibri" w:eastAsia="Calibri" w:hAnsi="Calibri"/>
                <w:b/>
                <w:bCs/>
                <w:color w:val="0B7285"/>
                <w:sz w:val="18"/>
                <w:szCs w:val="18"/>
              </w:rPr>
              <w:t xml:space="preserve">PROFESSIONAL
SUMMARY</w:t>
            </w:r>
          </w:p>
        </w:tc>
        <w:tc>
          <w:tcPr>
            <w:tcW w:type="dxa" w:w="120"/>
            <w:tcBorders>
              <w:top w:val="none" w:color="FFFFFF" w:sz="0"/>
              <w:left w:val="none" w:color="FFFFFF" w:sz="0"/>
              <w:bottom w:val="none" w:color="FFFFFF" w:sz="0"/>
              <w:right w:val="none" w:color="FFFFFF" w:sz="0"/>
            </w:tcBorders>
          </w:tcPr>
          <w:p/>
        </w:tc>
        <w:tc>
          <w:tcPr>
            <w:tcW w:type="dxa" w:w="8420"/>
            <w:tcBorders>
              <w:top w:val="single" w:color="0B7285" w:sz="12" w:space="0"/>
              <w:left w:val="none" w:color="FFFFFF" w:sz="0"/>
              <w:bottom w:val="none" w:color="FFFFFF" w:sz="0"/>
              <w:right w:val="none" w:color="FFFFFF" w:sz="0"/>
            </w:tcBorders>
            <w:tcMar>
              <w:top w:type="dxa" w:w="120"/>
              <w:left w:type="dxa" w:w="0"/>
              <w:bottom w:type="dxa" w:w="0"/>
              <w:right w:type="dxa" w:w="0"/>
            </w:tcMar>
            <w:vAlign w:val="top"/>
          </w:tcPr>
          <w:p>
            <w:pPr>
              <w:spacing w:after="80" w:before="0"/>
            </w:pPr>
            <w:r>
              <w:rPr>
                <w:rFonts w:ascii="Calibri" w:cs="Calibri" w:eastAsia="Calibri" w:hAnsi="Calibri"/>
                <w:color w:val="1F2937"/>
                <w:sz w:val="19"/>
                <w:szCs w:val="19"/>
              </w:rPr>
              <w:t xml:space="preserve">Azure Infrastructure Engineer with 5+ years of experience delivering secure hybrid and cloud-based environments across MSP and enterprise settings. Proven track record designing, implementing, and supporting Azure infrastructure including identity, networking, storage, and automation workflows. Experienced in Microsoft Entra ID, Azure networking, and security controls, with hands-on delivery of infrastructure using Terraform, Azure Functions, and Logic Apps to automate operational processes and strengthen platform reliability.</w:t>
            </w:r>
          </w:p>
          <w:p>
            <w:pPr>
              <w:spacing w:after="80" w:before="0"/>
            </w:pPr>
            <w:r>
              <w:rPr>
                <w:rFonts w:ascii="Calibri" w:cs="Calibri" w:eastAsia="Calibri" w:hAnsi="Calibri"/>
                <w:color w:val="1F2937"/>
                <w:sz w:val="19"/>
                <w:szCs w:val="19"/>
              </w:rPr>
              <w:t xml:space="preserve">Skilled in monitoring and troubleshooting production environments using Azure Monitor, Log Analytics, and diagnostic tooling to identify and resolve infrastructure issues efficiently. Demonstrated experience implementing secure, event-driven Azure solutions and identity automation platforms aligned with zero-trust and compliance-driven environments. Strong collaborator with experience documenting cloud configurations, supporting disaster recovery readiness, and recommending infrastructure improvements to optimise performance and security.</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900"/>
        <w:gridCol w:w="120"/>
        <w:gridCol w:w="8420"/>
      </w:tblGrid>
      <w:tr>
        <w:tc>
          <w:tcPr>
            <w:tcW w:type="dxa" w:w="1900"/>
            <w:tcBorders>
              <w:top w:val="none" w:color="FFFFFF" w:sz="0"/>
              <w:left w:val="none" w:color="FFFFFF" w:sz="0"/>
              <w:bottom w:val="none" w:color="FFFFFF" w:sz="0"/>
              <w:right w:val="none" w:color="FFFFFF" w:sz="0"/>
            </w:tcBorders>
            <w:tcMar>
              <w:top w:type="dxa" w:w="120"/>
              <w:left w:type="dxa" w:w="0"/>
              <w:bottom w:type="dxa" w:w="0"/>
              <w:right w:type="dxa" w:w="80"/>
            </w:tcMar>
            <w:vAlign w:val="top"/>
          </w:tcPr>
          <w:p>
            <w:pPr>
              <w:spacing w:after="0" w:before="0"/>
            </w:pPr>
            <w:r>
              <w:rPr>
                <w:rFonts w:ascii="Calibri" w:cs="Calibri" w:eastAsia="Calibri" w:hAnsi="Calibri"/>
                <w:b/>
                <w:bCs/>
                <w:color w:val="0B7285"/>
                <w:sz w:val="18"/>
                <w:szCs w:val="18"/>
              </w:rPr>
              <w:t xml:space="preserve">TECHNICAL
SKILLS</w:t>
            </w:r>
          </w:p>
        </w:tc>
        <w:tc>
          <w:tcPr>
            <w:tcW w:type="dxa" w:w="120"/>
            <w:tcBorders>
              <w:top w:val="none" w:color="FFFFFF" w:sz="0"/>
              <w:left w:val="none" w:color="FFFFFF" w:sz="0"/>
              <w:bottom w:val="none" w:color="FFFFFF" w:sz="0"/>
              <w:right w:val="none" w:color="FFFFFF" w:sz="0"/>
            </w:tcBorders>
          </w:tcPr>
          <w:p/>
        </w:tc>
        <w:tc>
          <w:tcPr>
            <w:tcW w:type="dxa" w:w="8420"/>
            <w:tcBorders>
              <w:top w:val="single" w:color="0B7285" w:sz="12" w:space="0"/>
              <w:left w:val="none" w:color="FFFFFF" w:sz="0"/>
              <w:bottom w:val="none" w:color="FFFFFF" w:sz="0"/>
              <w:right w:val="none" w:color="FFFFFF" w:sz="0"/>
            </w:tcBorders>
            <w:tcMar>
              <w:top w:type="dxa" w:w="120"/>
              <w:left w:type="dxa" w:w="0"/>
              <w:bottom w:type="dxa" w:w="0"/>
              <w:right w:type="dxa" w:w="0"/>
            </w:tcMar>
            <w:vAlign w:val="top"/>
          </w:tcPr>
          <w:p>
            <w:pPr>
              <w:spacing w:after="30" w:before="20"/>
            </w:pPr>
            <w:r>
              <w:rPr>
                <w:rFonts w:ascii="Calibri" w:cs="Calibri" w:eastAsia="Calibri" w:hAnsi="Calibri"/>
                <w:b/>
                <w:bCs/>
                <w:color w:val="1A2B4A"/>
                <w:sz w:val="18"/>
                <w:szCs w:val="18"/>
              </w:rPr>
              <w:t xml:space="preserve">Cloud Platforms: </w:t>
            </w:r>
            <w:r>
              <w:rPr>
                <w:rFonts w:ascii="Calibri" w:cs="Calibri" w:eastAsia="Calibri" w:hAnsi="Calibri"/>
                <w:color w:val="1F2937"/>
                <w:sz w:val="18"/>
                <w:szCs w:val="18"/>
              </w:rPr>
              <w:t xml:space="preserve">Microsoft Azure, Entra ID, Azure Functions, Logic Apps, Blob Storage, Event Grid, Azure Monitor, Log Analytics, Application Insights, Azure VMs, Virtual Networks, Azure Firewall, Azure Backup &amp; Site Recovery</w:t>
            </w:r>
          </w:p>
          <w:p>
            <w:pPr>
              <w:spacing w:after="30" w:before="20"/>
            </w:pPr>
            <w:r>
              <w:rPr>
                <w:rFonts w:ascii="Calibri" w:cs="Calibri" w:eastAsia="Calibri" w:hAnsi="Calibri"/>
                <w:b/>
                <w:bCs/>
                <w:color w:val="1A2B4A"/>
                <w:sz w:val="18"/>
                <w:szCs w:val="18"/>
              </w:rPr>
              <w:t xml:space="preserve">Cloud Governance: </w:t>
            </w:r>
            <w:r>
              <w:rPr>
                <w:rFonts w:ascii="Calibri" w:cs="Calibri" w:eastAsia="Calibri" w:hAnsi="Calibri"/>
                <w:color w:val="1F2937"/>
                <w:sz w:val="18"/>
                <w:szCs w:val="18"/>
              </w:rPr>
              <w:t xml:space="preserve">Azure Policy, Azure Management Groups, Policy Initiatives, Automated Remediation, Cloud Governance, Azure Security, Azure Workbooks, Azure Alerts, Compliance Monitoring</w:t>
            </w:r>
          </w:p>
          <w:p>
            <w:pPr>
              <w:spacing w:after="30" w:before="20"/>
            </w:pPr>
            <w:r>
              <w:rPr>
                <w:rFonts w:ascii="Calibri" w:cs="Calibri" w:eastAsia="Calibri" w:hAnsi="Calibri"/>
                <w:b/>
                <w:bCs/>
                <w:color w:val="1A2B4A"/>
                <w:sz w:val="18"/>
                <w:szCs w:val="18"/>
              </w:rPr>
              <w:t xml:space="preserve">Identity &amp; Security: </w:t>
            </w:r>
            <w:r>
              <w:rPr>
                <w:rFonts w:ascii="Calibri" w:cs="Calibri" w:eastAsia="Calibri" w:hAnsi="Calibri"/>
                <w:color w:val="1F2937"/>
                <w:sz w:val="18"/>
                <w:szCs w:val="18"/>
              </w:rPr>
              <w:t xml:space="preserve">Microsoft Entra ID, Conditional Access, RBAC, MFA, Intune Compliance Policies, SAS Token Security, Easy Auth, Zero-Trust Architecture, PIM exposure, AD Connect, Hybrid Join</w:t>
            </w:r>
          </w:p>
          <w:p>
            <w:pPr>
              <w:spacing w:after="30" w:before="20"/>
            </w:pPr>
            <w:r>
              <w:rPr>
                <w:rFonts w:ascii="Calibri" w:cs="Calibri" w:eastAsia="Calibri" w:hAnsi="Calibri"/>
                <w:b/>
                <w:bCs/>
                <w:color w:val="1A2B4A"/>
                <w:sz w:val="18"/>
                <w:szCs w:val="18"/>
              </w:rPr>
              <w:t xml:space="preserve">Infrastructure as Code: </w:t>
            </w:r>
            <w:r>
              <w:rPr>
                <w:rFonts w:ascii="Calibri" w:cs="Calibri" w:eastAsia="Calibri" w:hAnsi="Calibri"/>
                <w:color w:val="1F2937"/>
                <w:sz w:val="18"/>
                <w:szCs w:val="18"/>
              </w:rPr>
              <w:t xml:space="preserve">Terraform (AzureRM), Bicep, Azure CLI, ARM Templates, RBAC Configuration, Storage Lifecycle Policies, Repeatable Governance Deployment</w:t>
            </w:r>
          </w:p>
          <w:p>
            <w:pPr>
              <w:spacing w:after="30" w:before="20"/>
            </w:pPr>
            <w:r>
              <w:rPr>
                <w:rFonts w:ascii="Calibri" w:cs="Calibri" w:eastAsia="Calibri" w:hAnsi="Calibri"/>
                <w:b/>
                <w:bCs/>
                <w:color w:val="1A2B4A"/>
                <w:sz w:val="18"/>
                <w:szCs w:val="18"/>
              </w:rPr>
              <w:t xml:space="preserve">Networking: </w:t>
            </w:r>
            <w:r>
              <w:rPr>
                <w:rFonts w:ascii="Calibri" w:cs="Calibri" w:eastAsia="Calibri" w:hAnsi="Calibri"/>
                <w:color w:val="1F2937"/>
                <w:sz w:val="18"/>
                <w:szCs w:val="18"/>
              </w:rPr>
              <w:t xml:space="preserve">Azure VNets, Site-to-Site VPNs, NSGs, DNS, DHCP, SSL Certificate Management, Subnetting/Routing, Hybrid Connectivity, Firewall Rules</w:t>
            </w:r>
          </w:p>
          <w:p>
            <w:pPr>
              <w:spacing w:after="30" w:before="20"/>
            </w:pPr>
            <w:r>
              <w:rPr>
                <w:rFonts w:ascii="Calibri" w:cs="Calibri" w:eastAsia="Calibri" w:hAnsi="Calibri"/>
                <w:b/>
                <w:bCs/>
                <w:color w:val="1A2B4A"/>
                <w:sz w:val="18"/>
                <w:szCs w:val="18"/>
              </w:rPr>
              <w:t xml:space="preserve">Automation &amp; DevOps: </w:t>
            </w:r>
            <w:r>
              <w:rPr>
                <w:rFonts w:ascii="Calibri" w:cs="Calibri" w:eastAsia="Calibri" w:hAnsi="Calibri"/>
                <w:color w:val="1F2937"/>
                <w:sz w:val="18"/>
                <w:szCs w:val="18"/>
              </w:rPr>
              <w:t xml:space="preserve">GitHub Actions, OIDC Authentication, PowerShell, Azure Logic Apps, Workflow Automation, CI/CD Pipelines</w:t>
            </w:r>
          </w:p>
          <w:p>
            <w:pPr>
              <w:spacing w:after="30" w:before="20"/>
            </w:pPr>
            <w:r>
              <w:rPr>
                <w:rFonts w:ascii="Calibri" w:cs="Calibri" w:eastAsia="Calibri" w:hAnsi="Calibri"/>
                <w:b/>
                <w:bCs/>
                <w:color w:val="1A2B4A"/>
                <w:sz w:val="18"/>
                <w:szCs w:val="18"/>
              </w:rPr>
              <w:t xml:space="preserve">Monitoring &amp; Logging: </w:t>
            </w:r>
            <w:r>
              <w:rPr>
                <w:rFonts w:ascii="Calibri" w:cs="Calibri" w:eastAsia="Calibri" w:hAnsi="Calibri"/>
                <w:color w:val="1F2937"/>
                <w:sz w:val="18"/>
                <w:szCs w:val="18"/>
              </w:rPr>
              <w:t xml:space="preserve">Azure Monitor, Log Analytics, KQL Queries, Azure Workbooks, Azure Alerts, Application Insights, Storage Diagnostics, Defender for Cloud</w:t>
            </w:r>
          </w:p>
          <w:p>
            <w:pPr>
              <w:spacing w:after="30" w:before="20"/>
            </w:pPr>
            <w:r>
              <w:rPr>
                <w:rFonts w:ascii="Calibri" w:cs="Calibri" w:eastAsia="Calibri" w:hAnsi="Calibri"/>
                <w:b/>
                <w:bCs/>
                <w:color w:val="1A2B4A"/>
                <w:sz w:val="18"/>
                <w:szCs w:val="18"/>
              </w:rPr>
              <w:t xml:space="preserve">Security &amp; Email: </w:t>
            </w:r>
            <w:r>
              <w:rPr>
                <w:rFonts w:ascii="Calibri" w:cs="Calibri" w:eastAsia="Calibri" w:hAnsi="Calibri"/>
                <w:color w:val="1F2937"/>
                <w:sz w:val="18"/>
                <w:szCs w:val="18"/>
              </w:rPr>
              <w:t xml:space="preserve">Mimecast, Barracuda, Darktrace, Defender for Endpoint, SonicWall, DKIM/SPF/DMARC, MXToolbox, Phishing Remediation</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900"/>
        <w:gridCol w:w="120"/>
        <w:gridCol w:w="8420"/>
      </w:tblGrid>
      <w:tr>
        <w:tc>
          <w:tcPr>
            <w:tcW w:type="dxa" w:w="1900"/>
            <w:tcBorders>
              <w:top w:val="none" w:color="FFFFFF" w:sz="0"/>
              <w:left w:val="none" w:color="FFFFFF" w:sz="0"/>
              <w:bottom w:val="none" w:color="FFFFFF" w:sz="0"/>
              <w:right w:val="none" w:color="FFFFFF" w:sz="0"/>
            </w:tcBorders>
            <w:tcMar>
              <w:top w:type="dxa" w:w="120"/>
              <w:left w:type="dxa" w:w="0"/>
              <w:bottom w:type="dxa" w:w="0"/>
              <w:right w:type="dxa" w:w="80"/>
            </w:tcMar>
            <w:vAlign w:val="top"/>
          </w:tcPr>
          <w:p>
            <w:pPr>
              <w:spacing w:after="0" w:before="0"/>
            </w:pPr>
            <w:r>
              <w:rPr>
                <w:rFonts w:ascii="Calibri" w:cs="Calibri" w:eastAsia="Calibri" w:hAnsi="Calibri"/>
                <w:b/>
                <w:bCs/>
                <w:color w:val="0B7285"/>
                <w:sz w:val="18"/>
                <w:szCs w:val="18"/>
              </w:rPr>
              <w:t xml:space="preserve">KEY
PROJECTS</w:t>
            </w:r>
          </w:p>
        </w:tc>
        <w:tc>
          <w:tcPr>
            <w:tcW w:type="dxa" w:w="120"/>
            <w:tcBorders>
              <w:top w:val="none" w:color="FFFFFF" w:sz="0"/>
              <w:left w:val="none" w:color="FFFFFF" w:sz="0"/>
              <w:bottom w:val="none" w:color="FFFFFF" w:sz="0"/>
              <w:right w:val="none" w:color="FFFFFF" w:sz="0"/>
            </w:tcBorders>
          </w:tcPr>
          <w:p/>
        </w:tc>
        <w:tc>
          <w:tcPr>
            <w:tcW w:type="dxa" w:w="8420"/>
            <w:tcBorders>
              <w:top w:val="single" w:color="0B7285" w:sz="12" w:space="0"/>
              <w:left w:val="none" w:color="FFFFFF" w:sz="0"/>
              <w:bottom w:val="none" w:color="FFFFFF" w:sz="0"/>
              <w:right w:val="none" w:color="FFFFFF" w:sz="0"/>
            </w:tcBorders>
            <w:tcMar>
              <w:top w:type="dxa" w:w="120"/>
              <w:left w:type="dxa" w:w="0"/>
              <w:bottom w:type="dxa" w:w="0"/>
              <w:right w:type="dxa" w:w="0"/>
            </w:tcMar>
            <w:vAlign w:val="top"/>
          </w:tcPr>
          <w:p>
            <w:pPr>
              <w:spacing w:after="40" w:before="60"/>
            </w:pPr>
            <w:r>
              <w:rPr>
                <w:rFonts w:ascii="Calibri" w:cs="Calibri" w:eastAsia="Calibri" w:hAnsi="Calibri"/>
                <w:b/>
                <w:bCs/>
                <w:color w:val="1A2B4A"/>
                <w:sz w:val="19"/>
                <w:szCs w:val="19"/>
              </w:rPr>
              <w:t xml:space="preserve">SecureCloud Hub</w:t>
            </w:r>
            <w:r>
              <w:rPr>
                <w:rFonts w:ascii="Calibri" w:cs="Calibri" w:eastAsia="Calibri" w:hAnsi="Calibri"/>
                <w:i/>
                <w:iCs/>
                <w:color w:val="6B7280"/>
                <w:sz w:val="18"/>
                <w:szCs w:val="18"/>
              </w:rPr>
              <w:t xml:space="preserve">  —  Azure Zero-Trust File Security Platform</w:t>
            </w:r>
          </w:p>
          <w:p>
            <w:pPr>
              <w:spacing w:after="60" w:before="0"/>
            </w:pPr>
            <w:r>
              <w:rPr>
                <w:rFonts w:ascii="Calibri" w:cs="Calibri" w:eastAsia="Calibri" w:hAnsi="Calibri"/>
                <w:b/>
                <w:bCs/>
                <w:color w:val="1A2B4A"/>
                <w:sz w:val="17"/>
                <w:szCs w:val="17"/>
              </w:rPr>
              <w:t xml:space="preserve">GitHub: </w:t>
            </w:r>
            <w:hyperlink w:history="1" r:id="rId4bjyi6pzksec8fmniyi9y">
              <w:r>
                <w:rPr>
                  <w:rFonts w:ascii="Calibri" w:cs="Calibri" w:eastAsia="Calibri" w:hAnsi="Calibri"/>
                  <w:color w:val="0B7285"/>
                  <w:sz w:val="17"/>
                  <w:szCs w:val="17"/>
                  <w:u w:val="single" w:color="0B7285"/>
                </w:rPr>
                <w:t xml:space="preserve">github.com/obed015/SecureCloud-Hub</w:t>
              </w:r>
            </w:hyperlink>
            <w:r>
              <w:rPr>
                <w:rFonts w:ascii="Calibri" w:cs="Calibri" w:eastAsia="Calibri" w:hAnsi="Calibri"/>
                <w:b/>
                <w:bCs/>
                <w:color w:val="1A2B4A"/>
                <w:sz w:val="17"/>
                <w:szCs w:val="17"/>
              </w:rPr>
              <w:t xml:space="preserve">   |   Deep Dive: </w:t>
            </w:r>
            <w:hyperlink w:history="1" r:id="rIdg2alvpxlv_novb_kniiwd">
              <w:r>
                <w:rPr>
                  <w:rFonts w:ascii="Calibri" w:cs="Calibri" w:eastAsia="Calibri" w:hAnsi="Calibri"/>
                  <w:color w:val="0B7285"/>
                  <w:sz w:val="17"/>
                  <w:szCs w:val="17"/>
                  <w:u w:val="single" w:color="0B7285"/>
                </w:rPr>
                <w:t xml:space="preserve">oowusu.com/secure-cloud-hub-engineering-deepdive.html</w:t>
              </w:r>
            </w:hyperlink>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Designed and built a secure enterprise-style Azure file-sharing platform using Azure Functions, Blob Storage, Event Grid, and Microsoft Entra ID, enforcing authenticated-only access with private storage throughout.</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Implemented direct-to-Blob upload architecture using short-lived write SAS tokens, enabling secure browser-based file ingestion without application-layer file handling.</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Built an event-driven malware scanning pipeline triggered by Event Grid, automatically routing files to safe-files or quarantine containers with scan status metadata.</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Developed a secure download API validating authenticated users and verifying scanStatus=clean before issuing 15-minute read-only user delegation SAS URLs via managed identity.</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Provisioned full infrastructure using Terraform including storage containers, lifecycle policies, RBAC assignments, CORS rules, and Function App configuration.</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Created passwordless CI/CD pipelines using GitHub Actions with OIDC federation, removing long-lived deployment secrets and automating infrastructure delivery.</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Implemented Application Insights, Storage diagnostics, and KQL queries to monitor scan lifecycle events, file access activity, and runtime logs.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Implemented user-scoped blob namespace isolation using authenticated identity claims, ensuring multi-user file separation within a shared storage environment.</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Resolved production-style issues including Flex Consumption migration, Event Grid delivery failures, Easy Auth path exclusions, and frontend/backend blob path alignment.</w:t>
            </w:r>
          </w:p>
          <w:p>
            <w:pPr>
              <w:spacing w:after="60" w:before="40"/>
            </w:pPr>
            <w:r>
              <w:rPr>
                <w:rFonts w:ascii="Calibri" w:cs="Calibri" w:eastAsia="Calibri" w:hAnsi="Calibri"/>
                <w:b/>
                <w:bCs/>
                <w:color w:val="1A2B4A"/>
                <w:sz w:val="17"/>
                <w:szCs w:val="17"/>
              </w:rPr>
              <w:t xml:space="preserve">Tech: </w:t>
            </w:r>
            <w:r>
              <w:rPr>
                <w:rFonts w:ascii="Calibri" w:cs="Calibri" w:eastAsia="Calibri" w:hAnsi="Calibri"/>
                <w:i/>
                <w:iCs/>
                <w:color w:val="6B7280"/>
                <w:sz w:val="17"/>
                <w:szCs w:val="17"/>
              </w:rPr>
              <w:t xml:space="preserve">Azure Functions (Python), Blob Storage, Event Grid, Microsoft Entra ID, Managed Identity, RBAC, Terraform, GitHub Actions, OIDC, Application Insights, Log Analytics, KQL</w:t>
            </w:r>
          </w:p>
          <w:p>
            <w:pPr>
              <w:spacing w:after="40" w:before="60"/>
            </w:pPr>
            <w:r>
              <w:rPr>
                <w:rFonts w:ascii="Calibri" w:cs="Calibri" w:eastAsia="Calibri" w:hAnsi="Calibri"/>
                <w:b/>
                <w:bCs/>
                <w:color w:val="1A2B4A"/>
                <w:sz w:val="19"/>
                <w:szCs w:val="19"/>
              </w:rPr>
              <w:t xml:space="preserve">Azure Onboard Automator</w:t>
            </w:r>
            <w:r>
              <w:rPr>
                <w:rFonts w:ascii="Calibri" w:cs="Calibri" w:eastAsia="Calibri" w:hAnsi="Calibri"/>
                <w:i/>
                <w:iCs/>
                <w:color w:val="6B7280"/>
                <w:sz w:val="18"/>
                <w:szCs w:val="18"/>
              </w:rPr>
              <w:t xml:space="preserve">  —  Identity Provisioning Workflow Platform</w:t>
            </w:r>
          </w:p>
          <w:p>
            <w:pPr>
              <w:spacing w:after="60" w:before="0"/>
            </w:pPr>
            <w:r>
              <w:rPr>
                <w:rFonts w:ascii="Calibri" w:cs="Calibri" w:eastAsia="Calibri" w:hAnsi="Calibri"/>
                <w:b/>
                <w:bCs/>
                <w:color w:val="1A2B4A"/>
                <w:sz w:val="17"/>
                <w:szCs w:val="17"/>
              </w:rPr>
              <w:t xml:space="preserve">GitHub: </w:t>
            </w:r>
            <w:hyperlink w:history="1" r:id="rIdz9kzaclcep-9t-wrqpxp5">
              <w:r>
                <w:rPr>
                  <w:rFonts w:ascii="Calibri" w:cs="Calibri" w:eastAsia="Calibri" w:hAnsi="Calibri"/>
                  <w:color w:val="0B7285"/>
                  <w:sz w:val="17"/>
                  <w:szCs w:val="17"/>
                  <w:u w:val="single" w:color="0B7285"/>
                </w:rPr>
                <w:t xml:space="preserve">github.com/obed015/azure-onboard-automator</w:t>
              </w:r>
            </w:hyperlink>
            <w:r>
              <w:rPr>
                <w:rFonts w:ascii="Calibri" w:cs="Calibri" w:eastAsia="Calibri" w:hAnsi="Calibri"/>
                <w:b/>
                <w:bCs/>
                <w:color w:val="1A2B4A"/>
                <w:sz w:val="17"/>
                <w:szCs w:val="17"/>
              </w:rPr>
              <w:t xml:space="preserve">   |   Details: </w:t>
            </w:r>
            <w:hyperlink w:history="1" r:id="rId-bsuzeqh6jjkce3rulyfz">
              <w:r>
                <w:rPr>
                  <w:rFonts w:ascii="Calibri" w:cs="Calibri" w:eastAsia="Calibri" w:hAnsi="Calibri"/>
                  <w:color w:val="0B7285"/>
                  <w:sz w:val="17"/>
                  <w:szCs w:val="17"/>
                  <w:u w:val="single" w:color="0B7285"/>
                </w:rPr>
                <w:t xml:space="preserve">oowusu.com/azure-onboard-automator.html</w:t>
              </w:r>
            </w:hyperlink>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Designed and implemented an automated employee onboarding workflow using Azure Logic Apps integrated with Microsoft Entra ID for consistent identity provisioning.</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Automated user creation, group membership assignment, and M365 license provisioning based on HR-submitted onboarding requests.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Integrated SharePoint and Office 365 connectors to trigger workflows from HR input forms, with automated welcome emails containing access instructions.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Implemented role-based access provisioning assigning users to department-specific security groups, reducing manual provisioning effort by approximately 60%.</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Designed workflow logic to enforce consistent identity provisioning standards across departments and reduce manual onboarding errors.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Enabled full workflow auditing and operational visibility using Logic App run history and Azure Monitor logs.</w:t>
            </w:r>
          </w:p>
          <w:p>
            <w:pPr>
              <w:spacing w:after="60" w:before="40"/>
            </w:pPr>
            <w:r>
              <w:rPr>
                <w:rFonts w:ascii="Calibri" w:cs="Calibri" w:eastAsia="Calibri" w:hAnsi="Calibri"/>
                <w:b/>
                <w:bCs/>
                <w:color w:val="1A2B4A"/>
                <w:sz w:val="17"/>
                <w:szCs w:val="17"/>
              </w:rPr>
              <w:t xml:space="preserve">Tech: </w:t>
            </w:r>
            <w:r>
              <w:rPr>
                <w:rFonts w:ascii="Calibri" w:cs="Calibri" w:eastAsia="Calibri" w:hAnsi="Calibri"/>
                <w:i/>
                <w:iCs/>
                <w:color w:val="6B7280"/>
                <w:sz w:val="17"/>
                <w:szCs w:val="17"/>
              </w:rPr>
              <w:t xml:space="preserve">Azure Logic Apps, Microsoft Entra ID, RBAC, Office 365 Connectors, Azure Monitor, Workflow Automation</w:t>
            </w:r>
          </w:p>
          <w:p>
            <w:pPr>
              <w:spacing w:after="100" w:before="0"/>
            </w:pPr>
          </w:p>
          <w:p>
            <w:pPr>
              <w:spacing w:after="40" w:before="60"/>
            </w:pPr>
            <w:r>
              <w:rPr>
                <w:rFonts w:ascii="Calibri" w:cs="Calibri" w:eastAsia="Calibri" w:hAnsi="Calibri"/>
                <w:b/>
                <w:bCs/>
                <w:color w:val="1A2B4A"/>
                <w:sz w:val="19"/>
                <w:szCs w:val="19"/>
              </w:rPr>
              <w:t xml:space="preserve">Cloud Policy Compliance Dashboard</w:t>
            </w:r>
            <w:r>
              <w:rPr>
                <w:rFonts w:ascii="Calibri" w:cs="Calibri" w:eastAsia="Calibri" w:hAnsi="Calibri"/>
                <w:i/>
                <w:iCs/>
                <w:color w:val="6B7280"/>
                <w:sz w:val="18"/>
                <w:szCs w:val="18"/>
              </w:rPr>
              <w:t xml:space="preserve">  —  Enterprise Azure Governance Platform</w:t>
            </w:r>
          </w:p>
          <w:p>
            <w:pPr>
              <w:spacing w:after="60" w:before="0"/>
            </w:pPr>
            <w:r>
              <w:rPr>
                <w:rFonts w:ascii="Calibri" w:cs="Calibri" w:eastAsia="Calibri" w:hAnsi="Calibri"/>
                <w:b/>
                <w:bCs/>
                <w:color w:val="1A2B4A"/>
                <w:sz w:val="17"/>
                <w:szCs w:val="17"/>
              </w:rPr>
              <w:t xml:space="preserve">Live Platform: </w:t>
            </w:r>
            <w:hyperlink w:history="1" r:id="rIdwmuzvlsykrkccjvelxzmu">
              <w:r>
                <w:rPr>
                  <w:rFonts w:ascii="Calibri" w:cs="Calibri" w:eastAsia="Calibri" w:hAnsi="Calibri"/>
                  <w:color w:val="0B7285"/>
                  <w:sz w:val="17"/>
                  <w:szCs w:val="17"/>
                  <w:u w:val="single" w:color="0B7285"/>
                </w:rPr>
                <w:t xml:space="preserve">oowusu.com/cloud-policy-compliance-dashboard.html</w:t>
              </w:r>
            </w:hyperlink>
            <w:r>
              <w:rPr>
                <w:rFonts w:ascii="Calibri" w:cs="Calibri" w:eastAsia="Calibri" w:hAnsi="Calibri"/>
                <w:b/>
                <w:bCs/>
                <w:color w:val="1A2B4A"/>
                <w:sz w:val="17"/>
                <w:szCs w:val="17"/>
              </w:rPr>
              <w:t xml:space="preserve">   |   Deep Dive: </w:t>
            </w:r>
            <w:hyperlink w:history="1" r:id="rIdcti6ngjlmhw3lxgizsjxm">
              <w:r>
                <w:rPr>
                  <w:rFonts w:ascii="Calibri" w:cs="Calibri" w:eastAsia="Calibri" w:hAnsi="Calibri"/>
                  <w:color w:val="0B7285"/>
                  <w:sz w:val="17"/>
                  <w:szCs w:val="17"/>
                  <w:u w:val="single" w:color="0B7285"/>
                </w:rPr>
                <w:t xml:space="preserve">oowusu.com/cloud-policy-compliance-dashboard-deepdive.html</w:t>
              </w:r>
            </w:hyperlink>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Designed and deployed Azure Policy initiatives at Management Group scope to enforce governance controls and compliance standards across subscriptions.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Implemented automated remediation workflows using Azure Policy Modify effects and Managed Identity, reducing manual intervention for non-compliant resources.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Built centralised compliance monitoring using Azure Monitor and Log Analytics Workspace, providing unified visibility across cloud resources.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Developed Azure Workbook dashboards to visualise policy compliance status and remediation activity in real time.</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Configured Azure Monitor Alerts to proactively notify administrators of non-compliant resources, enabling faster response.</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Deployed infrastructure using modular Bicep templates, enabling repeatable and consistent governance deployment across environments.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Validated remediation behaviour by simulating non-compliant storage configurations and confirming automated correction end-to-end.</w:t>
            </w:r>
          </w:p>
          <w:p>
            <w:pPr>
              <w:spacing w:after="60" w:before="40"/>
            </w:pPr>
            <w:r>
              <w:rPr>
                <w:rFonts w:ascii="Calibri" w:cs="Calibri" w:eastAsia="Calibri" w:hAnsi="Calibri"/>
                <w:b/>
                <w:bCs/>
                <w:color w:val="1A2B4A"/>
                <w:sz w:val="17"/>
                <w:szCs w:val="17"/>
              </w:rPr>
              <w:t xml:space="preserve">Tech: </w:t>
            </w:r>
            <w:r>
              <w:rPr>
                <w:rFonts w:ascii="Calibri" w:cs="Calibri" w:eastAsia="Calibri" w:hAnsi="Calibri"/>
                <w:i/>
                <w:iCs/>
                <w:color w:val="6B7280"/>
                <w:sz w:val="17"/>
                <w:szCs w:val="17"/>
              </w:rPr>
              <w:t xml:space="preserve">Azure Policy, Management Groups, Azure Monitor, Log Analytics, Azure Workbooks, Azure Alerts, Managed Identity, Bicep, Azure CLI</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900"/>
        <w:gridCol w:w="120"/>
        <w:gridCol w:w="8420"/>
      </w:tblGrid>
      <w:tr>
        <w:tc>
          <w:tcPr>
            <w:tcW w:type="dxa" w:w="1900"/>
            <w:tcBorders>
              <w:top w:val="none" w:color="FFFFFF" w:sz="0"/>
              <w:left w:val="none" w:color="FFFFFF" w:sz="0"/>
              <w:bottom w:val="none" w:color="FFFFFF" w:sz="0"/>
              <w:right w:val="none" w:color="FFFFFF" w:sz="0"/>
            </w:tcBorders>
            <w:tcMar>
              <w:top w:type="dxa" w:w="120"/>
              <w:left w:type="dxa" w:w="0"/>
              <w:bottom w:type="dxa" w:w="0"/>
              <w:right w:type="dxa" w:w="80"/>
            </w:tcMar>
            <w:vAlign w:val="top"/>
          </w:tcPr>
          <w:p>
            <w:pPr>
              <w:spacing w:after="0" w:before="0"/>
            </w:pPr>
            <w:r>
              <w:rPr>
                <w:rFonts w:ascii="Calibri" w:cs="Calibri" w:eastAsia="Calibri" w:hAnsi="Calibri"/>
                <w:b/>
                <w:bCs/>
                <w:color w:val="0B7285"/>
                <w:sz w:val="18"/>
                <w:szCs w:val="18"/>
              </w:rPr>
              <w:t xml:space="preserve">WORK
HISTORY</w:t>
            </w:r>
          </w:p>
        </w:tc>
        <w:tc>
          <w:tcPr>
            <w:tcW w:type="dxa" w:w="120"/>
            <w:tcBorders>
              <w:top w:val="none" w:color="FFFFFF" w:sz="0"/>
              <w:left w:val="none" w:color="FFFFFF" w:sz="0"/>
              <w:bottom w:val="none" w:color="FFFFFF" w:sz="0"/>
              <w:right w:val="none" w:color="FFFFFF" w:sz="0"/>
            </w:tcBorders>
          </w:tcPr>
          <w:p/>
        </w:tc>
        <w:tc>
          <w:tcPr>
            <w:tcW w:type="dxa" w:w="8420"/>
            <w:tcBorders>
              <w:top w:val="single" w:color="0B7285" w:sz="12" w:space="0"/>
              <w:left w:val="none" w:color="FFFFFF" w:sz="0"/>
              <w:bottom w:val="none" w:color="FFFFFF" w:sz="0"/>
              <w:right w:val="none" w:color="FFFFFF" w:sz="0"/>
            </w:tcBorders>
            <w:tcMar>
              <w:top w:type="dxa" w:w="120"/>
              <w:left w:type="dxa" w:w="0"/>
              <w:bottom w:type="dxa" w:w="0"/>
              <w:right w:type="dxa" w:w="0"/>
            </w:tcMar>
            <w:vAlign w:val="top"/>
          </w:tcPr>
          <w:p>
            <w:pPr>
              <w:tabs>
                <w:tab w:val="right" w:pos="8420"/>
              </w:tabs>
              <w:spacing w:after="40" w:before="0"/>
            </w:pPr>
            <w:r>
              <w:rPr>
                <w:rFonts w:ascii="Calibri" w:cs="Calibri" w:eastAsia="Calibri" w:hAnsi="Calibri"/>
                <w:b/>
                <w:bCs/>
                <w:color w:val="1F2937"/>
                <w:sz w:val="19"/>
                <w:szCs w:val="19"/>
              </w:rPr>
              <w:t xml:space="preserve">SENIOR ASSOCIATE ENGINEER – 2ND/3RD LINE (MSP)</w:t>
            </w:r>
            <w:r>
              <w:rPr>
                <w:rFonts w:ascii="Calibri" w:cs="Calibri" w:eastAsia="Calibri" w:hAnsi="Calibri"/>
                <w:color w:val="6B7280"/>
                <w:sz w:val="18"/>
                <w:szCs w:val="18"/>
              </w:rPr>
              <w:t xml:space="preserve">	09/2024 – Present</w:t>
            </w:r>
          </w:p>
          <w:p>
            <w:pPr>
              <w:spacing w:after="60" w:before="0"/>
            </w:pPr>
            <w:r>
              <w:rPr>
                <w:rFonts w:ascii="Calibri" w:cs="Calibri" w:eastAsia="Calibri" w:hAnsi="Calibri"/>
                <w:b/>
                <w:bCs/>
                <w:color w:val="0B7285"/>
                <w:sz w:val="18"/>
                <w:szCs w:val="18"/>
              </w:rPr>
              <w:t xml:space="preserve">Lifeline IT</w:t>
            </w:r>
            <w:r>
              <w:rPr>
                <w:rFonts w:ascii="Calibri" w:cs="Calibri" w:eastAsia="Calibri" w:hAnsi="Calibri"/>
                <w:color w:val="6B7280"/>
                <w:sz w:val="18"/>
                <w:szCs w:val="18"/>
              </w:rPr>
              <w:t xml:space="preserve">, Remote / Peterborough</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Owned escalated incidents across Active Directory, Microsoft Entra ID, Azure networking, VPNs, and email flow, ensuring SLA compliance.</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Configured Site-to-Site VPNs for hybrid connectivity, monitored tunnel stability, and implemented failover plans.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Used MXToolbox and message trace logs to diagnose mail flow failures, missing DKIM/SPF records, and improve domain deliverability.</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Deployed Intune compliance policies and Conditional Access rules, achieving 95% device compliance across client base.</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Automated identity lifecycle workflows using PowerShell and Azure Logic Apps, reducing manual provisioning effort by approximately 60%.</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Tuned Mimecast and Barracuda email security policies, reducing phishing incidents by over 80%.</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Authored operational runbooks and SOPs for VPN setup, AD health checks, DR drills, and email security workflows.</w:t>
            </w:r>
          </w:p>
          <w:p>
            <w:pPr>
              <w:spacing w:after="100" w:before="0"/>
            </w:pPr>
          </w:p>
          <w:p>
            <w:pPr>
              <w:tabs>
                <w:tab w:val="right" w:pos="8420"/>
              </w:tabs>
              <w:spacing w:after="40" w:before="0"/>
            </w:pPr>
            <w:r>
              <w:rPr>
                <w:rFonts w:ascii="Calibri" w:cs="Calibri" w:eastAsia="Calibri" w:hAnsi="Calibri"/>
                <w:b/>
                <w:bCs/>
                <w:color w:val="1F2937"/>
                <w:sz w:val="19"/>
                <w:szCs w:val="19"/>
              </w:rPr>
              <w:t xml:space="preserve">2ND LINE TECHNICAL SUPPORT ENGINEER</w:t>
            </w:r>
            <w:r>
              <w:rPr>
                <w:rFonts w:ascii="Calibri" w:cs="Calibri" w:eastAsia="Calibri" w:hAnsi="Calibri"/>
                <w:color w:val="6B7280"/>
                <w:sz w:val="18"/>
                <w:szCs w:val="18"/>
              </w:rPr>
              <w:t xml:space="preserve">	05/2023 – 08/2024</w:t>
            </w:r>
          </w:p>
          <w:p>
            <w:pPr>
              <w:spacing w:after="60" w:before="0"/>
            </w:pPr>
            <w:r>
              <w:rPr>
                <w:rFonts w:ascii="Calibri" w:cs="Calibri" w:eastAsia="Calibri" w:hAnsi="Calibri"/>
                <w:b/>
                <w:bCs/>
                <w:color w:val="0B7285"/>
                <w:sz w:val="18"/>
                <w:szCs w:val="18"/>
              </w:rPr>
              <w:t xml:space="preserve">News UK</w:t>
            </w:r>
            <w:r>
              <w:rPr>
                <w:rFonts w:ascii="Calibri" w:cs="Calibri" w:eastAsia="Calibri" w:hAnsi="Calibri"/>
                <w:color w:val="6B7280"/>
                <w:sz w:val="18"/>
                <w:szCs w:val="18"/>
              </w:rPr>
              <w:t xml:space="preserve">, Hybrid / Peterborough</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Delivered advanced troubleshooting across AD replication, GPO conflicts, DNS/DHCP services, and VPN connectivity.</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Configured Cloud PCs and supported remote workers, mapped network drives, and deployed software packages.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Deployed enterprise security tools including Darktrace, SonicWall, Mimecast, and Bitwarden.</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Supported policy-based access control and phishing response investigations.</w:t>
            </w:r>
          </w:p>
          <w:p>
            <w:pPr>
              <w:spacing w:after="100" w:before="0"/>
            </w:pPr>
          </w:p>
          <w:p>
            <w:pPr>
              <w:tabs>
                <w:tab w:val="right" w:pos="8420"/>
              </w:tabs>
              <w:spacing w:after="40" w:before="0"/>
            </w:pPr>
            <w:r>
              <w:rPr>
                <w:rFonts w:ascii="Calibri" w:cs="Calibri" w:eastAsia="Calibri" w:hAnsi="Calibri"/>
                <w:b/>
                <w:bCs/>
                <w:color w:val="1F2937"/>
                <w:sz w:val="19"/>
                <w:szCs w:val="19"/>
              </w:rPr>
              <w:t xml:space="preserve">JUNIOR AZURE CLOUD ADMINISTRATOR (INTERN)</w:t>
            </w:r>
            <w:r>
              <w:rPr>
                <w:rFonts w:ascii="Calibri" w:cs="Calibri" w:eastAsia="Calibri" w:hAnsi="Calibri"/>
                <w:color w:val="6B7280"/>
                <w:sz w:val="18"/>
                <w:szCs w:val="18"/>
              </w:rPr>
              <w:t xml:space="preserve">	01/2024 – 03/2024</w:t>
            </w:r>
          </w:p>
          <w:p>
            <w:pPr>
              <w:spacing w:after="60" w:before="0"/>
            </w:pPr>
            <w:r>
              <w:rPr>
                <w:rFonts w:ascii="Calibri" w:cs="Calibri" w:eastAsia="Calibri" w:hAnsi="Calibri"/>
                <w:b/>
                <w:bCs/>
                <w:color w:val="0B7285"/>
                <w:sz w:val="18"/>
                <w:szCs w:val="18"/>
              </w:rPr>
              <w:t xml:space="preserve">Firebrand Training</w:t>
            </w:r>
            <w:r>
              <w:rPr>
                <w:rFonts w:ascii="Calibri" w:cs="Calibri" w:eastAsia="Calibri" w:hAnsi="Calibri"/>
                <w:color w:val="6B7280"/>
                <w:sz w:val="18"/>
                <w:szCs w:val="18"/>
              </w:rPr>
              <w:t xml:space="preserve">, Remote</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Built Azure lab environments using VNets, NSGs, Load Balancers, and hybrid identity integrations.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Assisted with Azure AD Connect configuration and Site-to-Site VPN testing for lab workloads.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Configured monitoring using Azure Monitor and Log Analytics, enabling alert-based incident detection.</w:t>
            </w:r>
          </w:p>
          <w:p>
            <w:pPr>
              <w:spacing w:after="100" w:before="0"/>
            </w:pPr>
          </w:p>
          <w:p>
            <w:pPr>
              <w:tabs>
                <w:tab w:val="right" w:pos="8420"/>
              </w:tabs>
              <w:spacing w:after="40" w:before="0"/>
            </w:pPr>
            <w:r>
              <w:rPr>
                <w:rFonts w:ascii="Calibri" w:cs="Calibri" w:eastAsia="Calibri" w:hAnsi="Calibri"/>
                <w:b/>
                <w:bCs/>
                <w:color w:val="1F2937"/>
                <w:sz w:val="19"/>
                <w:szCs w:val="19"/>
              </w:rPr>
              <w:t xml:space="preserve">1ST/2ND LINE SUPPORT ENGINEER</w:t>
            </w:r>
            <w:r>
              <w:rPr>
                <w:rFonts w:ascii="Calibri" w:cs="Calibri" w:eastAsia="Calibri" w:hAnsi="Calibri"/>
                <w:color w:val="6B7280"/>
                <w:sz w:val="18"/>
                <w:szCs w:val="18"/>
              </w:rPr>
              <w:t xml:space="preserve">	11/2019 – 04/2023</w:t>
            </w:r>
          </w:p>
          <w:p>
            <w:pPr>
              <w:spacing w:after="60" w:before="0"/>
            </w:pPr>
            <w:r>
              <w:rPr>
                <w:rFonts w:ascii="Calibri" w:cs="Calibri" w:eastAsia="Calibri" w:hAnsi="Calibri"/>
                <w:b/>
                <w:bCs/>
                <w:color w:val="0B7285"/>
                <w:sz w:val="18"/>
                <w:szCs w:val="18"/>
              </w:rPr>
              <w:t xml:space="preserve">ONTRAQ LTD</w:t>
            </w:r>
            <w:r>
              <w:rPr>
                <w:rFonts w:ascii="Calibri" w:cs="Calibri" w:eastAsia="Calibri" w:hAnsi="Calibri"/>
                <w:color w:val="6B7280"/>
                <w:sz w:val="18"/>
                <w:szCs w:val="18"/>
              </w:rPr>
              <w:t xml:space="preserve">, Chelmsford, Essex</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Administered Active Directory and Group Policy environments supporting multiple business clients.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Supported Microsoft 365 migrations, hybrid identity synchronisation, and endpoint rollout.</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Configured and supported Duo MFA rollout to secure VPN access and admin accounts.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Maintained structured documentation supporting infrastructure recovery and onboarding processes.</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900"/>
        <w:gridCol w:w="120"/>
        <w:gridCol w:w="8420"/>
      </w:tblGrid>
      <w:tr>
        <w:tc>
          <w:tcPr>
            <w:tcW w:type="dxa" w:w="1900"/>
            <w:tcBorders>
              <w:top w:val="none" w:color="FFFFFF" w:sz="0"/>
              <w:left w:val="none" w:color="FFFFFF" w:sz="0"/>
              <w:bottom w:val="none" w:color="FFFFFF" w:sz="0"/>
              <w:right w:val="none" w:color="FFFFFF" w:sz="0"/>
            </w:tcBorders>
            <w:tcMar>
              <w:top w:type="dxa" w:w="120"/>
              <w:left w:type="dxa" w:w="0"/>
              <w:bottom w:type="dxa" w:w="0"/>
              <w:right w:type="dxa" w:w="80"/>
            </w:tcMar>
            <w:vAlign w:val="top"/>
          </w:tcPr>
          <w:p>
            <w:pPr>
              <w:spacing w:after="0" w:before="0"/>
            </w:pPr>
            <w:r>
              <w:rPr>
                <w:rFonts w:ascii="Calibri" w:cs="Calibri" w:eastAsia="Calibri" w:hAnsi="Calibri"/>
                <w:b/>
                <w:bCs/>
                <w:color w:val="0B7285"/>
                <w:sz w:val="18"/>
                <w:szCs w:val="18"/>
              </w:rPr>
              <w:t xml:space="preserve">EDUCATION</w:t>
            </w:r>
          </w:p>
        </w:tc>
        <w:tc>
          <w:tcPr>
            <w:tcW w:type="dxa" w:w="120"/>
            <w:tcBorders>
              <w:top w:val="none" w:color="FFFFFF" w:sz="0"/>
              <w:left w:val="none" w:color="FFFFFF" w:sz="0"/>
              <w:bottom w:val="none" w:color="FFFFFF" w:sz="0"/>
              <w:right w:val="none" w:color="FFFFFF" w:sz="0"/>
            </w:tcBorders>
          </w:tcPr>
          <w:p/>
        </w:tc>
        <w:tc>
          <w:tcPr>
            <w:tcW w:type="dxa" w:w="8420"/>
            <w:tcBorders>
              <w:top w:val="single" w:color="0B7285" w:sz="12" w:space="0"/>
              <w:left w:val="none" w:color="FFFFFF" w:sz="0"/>
              <w:bottom w:val="none" w:color="FFFFFF" w:sz="0"/>
              <w:right w:val="none" w:color="FFFFFF" w:sz="0"/>
            </w:tcBorders>
            <w:tcMar>
              <w:top w:type="dxa" w:w="120"/>
              <w:left w:type="dxa" w:w="0"/>
              <w:bottom w:type="dxa" w:w="0"/>
              <w:right w:type="dxa" w:w="0"/>
            </w:tcMar>
            <w:vAlign w:val="top"/>
          </w:tcPr>
          <w:p>
            <w:pPr>
              <w:spacing w:after="40" w:before="0"/>
            </w:pPr>
            <w:r>
              <w:rPr>
                <w:rFonts w:ascii="Calibri" w:cs="Calibri" w:eastAsia="Calibri" w:hAnsi="Calibri"/>
                <w:b/>
                <w:bCs/>
                <w:color w:val="1F2937"/>
                <w:sz w:val="19"/>
                <w:szCs w:val="19"/>
              </w:rPr>
              <w:t xml:space="preserve">NVQ Level 3 — Business Studies</w:t>
            </w:r>
          </w:p>
          <w:p>
            <w:pPr>
              <w:spacing w:after="40" w:before="0"/>
            </w:pPr>
            <w:r>
              <w:rPr>
                <w:rFonts w:ascii="Calibri" w:cs="Calibri" w:eastAsia="Calibri" w:hAnsi="Calibri"/>
                <w:color w:val="6B7280"/>
                <w:sz w:val="18"/>
                <w:szCs w:val="18"/>
              </w:rPr>
              <w:t xml:space="preserve">Harlow College, Harlow  </w:t>
            </w:r>
            <w:r>
              <w:rPr>
                <w:rFonts w:ascii="Calibri" w:cs="Calibri" w:eastAsia="Calibri" w:hAnsi="Calibri"/>
                <w:b/>
                <w:bCs/>
                <w:color w:val="1F2937"/>
                <w:sz w:val="18"/>
                <w:szCs w:val="18"/>
              </w:rPr>
              <w:t xml:space="preserve">Distinction</w:t>
            </w:r>
            <w:r>
              <w:rPr>
                <w:rFonts w:ascii="Calibri" w:cs="Calibri" w:eastAsia="Calibri" w:hAnsi="Calibri"/>
                <w:color w:val="6B7280"/>
                <w:sz w:val="18"/>
                <w:szCs w:val="18"/>
              </w:rPr>
              <w:t xml:space="preserve">  |  09/2014 – 06/2016</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900"/>
        <w:gridCol w:w="120"/>
        <w:gridCol w:w="8420"/>
      </w:tblGrid>
      <w:tr>
        <w:tc>
          <w:tcPr>
            <w:tcW w:type="dxa" w:w="1900"/>
            <w:tcBorders>
              <w:top w:val="none" w:color="FFFFFF" w:sz="0"/>
              <w:left w:val="none" w:color="FFFFFF" w:sz="0"/>
              <w:bottom w:val="none" w:color="FFFFFF" w:sz="0"/>
              <w:right w:val="none" w:color="FFFFFF" w:sz="0"/>
            </w:tcBorders>
            <w:tcMar>
              <w:top w:type="dxa" w:w="120"/>
              <w:left w:type="dxa" w:w="0"/>
              <w:bottom w:type="dxa" w:w="0"/>
              <w:right w:type="dxa" w:w="80"/>
            </w:tcMar>
            <w:vAlign w:val="top"/>
          </w:tcPr>
          <w:p>
            <w:pPr>
              <w:spacing w:after="0" w:before="0"/>
            </w:pPr>
            <w:r>
              <w:rPr>
                <w:rFonts w:ascii="Calibri" w:cs="Calibri" w:eastAsia="Calibri" w:hAnsi="Calibri"/>
                <w:b/>
                <w:bCs/>
                <w:color w:val="0B7285"/>
                <w:sz w:val="18"/>
                <w:szCs w:val="18"/>
              </w:rPr>
              <w:t xml:space="preserve">CERTIFICATIONS
&amp; LICENCES</w:t>
            </w:r>
          </w:p>
        </w:tc>
        <w:tc>
          <w:tcPr>
            <w:tcW w:type="dxa" w:w="120"/>
            <w:tcBorders>
              <w:top w:val="none" w:color="FFFFFF" w:sz="0"/>
              <w:left w:val="none" w:color="FFFFFF" w:sz="0"/>
              <w:bottom w:val="none" w:color="FFFFFF" w:sz="0"/>
              <w:right w:val="none" w:color="FFFFFF" w:sz="0"/>
            </w:tcBorders>
          </w:tcPr>
          <w:p/>
        </w:tc>
        <w:tc>
          <w:tcPr>
            <w:tcW w:type="dxa" w:w="8420"/>
            <w:tcBorders>
              <w:top w:val="single" w:color="0B7285" w:sz="12" w:space="0"/>
              <w:left w:val="none" w:color="FFFFFF" w:sz="0"/>
              <w:bottom w:val="none" w:color="FFFFFF" w:sz="0"/>
              <w:right w:val="none" w:color="FFFFFF" w:sz="0"/>
            </w:tcBorders>
            <w:tcMar>
              <w:top w:type="dxa" w:w="120"/>
              <w:left w:type="dxa" w:w="0"/>
              <w:bottom w:type="dxa" w:w="0"/>
              <w:right w:type="dxa" w:w="0"/>
            </w:tcMar>
            <w:vAlign w:val="top"/>
          </w:tcPr>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Microsoft Certified: Azure Fundamentals (AZ-900)</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Microsoft Certified: Azure Administrator (AZ-104)  — In Progress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CompTIA Network+  — In Progress</w:t>
            </w:r>
          </w:p>
          <w:p>
            <w:pPr>
              <w:spacing w:after="20" w:before="20"/>
              <w:ind w:left="200" w:hanging="200"/>
            </w:pPr>
            <w:r>
              <w:rPr>
                <w:rFonts w:ascii="Calibri" w:cs="Calibri" w:eastAsia="Calibri" w:hAnsi="Calibri"/>
                <w:color w:val="0B7285"/>
                <w:sz w:val="19"/>
                <w:szCs w:val="19"/>
              </w:rPr>
              <w:t xml:space="preserve">• </w:t>
            </w:r>
            <w:r>
              <w:rPr>
                <w:rFonts w:ascii="Calibri" w:cs="Calibri" w:eastAsia="Calibri" w:hAnsi="Calibri"/>
                <w:color w:val="1F2937"/>
                <w:sz w:val="19"/>
                <w:szCs w:val="19"/>
              </w:rPr>
              <w:t xml:space="preserve">Cloud Management with Intune (2024)</w:t>
            </w:r>
          </w:p>
        </w:tc>
      </w:tr>
    </w:tbl>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900"/>
        <w:gridCol w:w="120"/>
        <w:gridCol w:w="8420"/>
      </w:tblGrid>
      <w:tr>
        <w:tc>
          <w:tcPr>
            <w:tcW w:type="dxa" w:w="1900"/>
            <w:tcBorders>
              <w:top w:val="none" w:color="FFFFFF" w:sz="0"/>
              <w:left w:val="none" w:color="FFFFFF" w:sz="0"/>
              <w:bottom w:val="none" w:color="FFFFFF" w:sz="0"/>
              <w:right w:val="none" w:color="FFFFFF" w:sz="0"/>
            </w:tcBorders>
            <w:tcMar>
              <w:top w:type="dxa" w:w="120"/>
              <w:left w:type="dxa" w:w="0"/>
              <w:bottom w:type="dxa" w:w="0"/>
              <w:right w:type="dxa" w:w="80"/>
            </w:tcMar>
            <w:vAlign w:val="top"/>
          </w:tcPr>
          <w:p>
            <w:pPr>
              <w:spacing w:after="0" w:before="0"/>
            </w:pPr>
            <w:r>
              <w:rPr>
                <w:rFonts w:ascii="Calibri" w:cs="Calibri" w:eastAsia="Calibri" w:hAnsi="Calibri"/>
                <w:b/>
                <w:bCs/>
                <w:color w:val="0B7285"/>
                <w:sz w:val="18"/>
                <w:szCs w:val="18"/>
              </w:rPr>
              <w:t xml:space="preserve">REFERENCES</w:t>
            </w:r>
          </w:p>
        </w:tc>
        <w:tc>
          <w:tcPr>
            <w:tcW w:type="dxa" w:w="120"/>
            <w:tcBorders>
              <w:top w:val="none" w:color="FFFFFF" w:sz="0"/>
              <w:left w:val="none" w:color="FFFFFF" w:sz="0"/>
              <w:bottom w:val="none" w:color="FFFFFF" w:sz="0"/>
              <w:right w:val="none" w:color="FFFFFF" w:sz="0"/>
            </w:tcBorders>
          </w:tcPr>
          <w:p/>
        </w:tc>
        <w:tc>
          <w:tcPr>
            <w:tcW w:type="dxa" w:w="8420"/>
            <w:tcBorders>
              <w:top w:val="single" w:color="0B7285" w:sz="12" w:space="0"/>
              <w:left w:val="none" w:color="FFFFFF" w:sz="0"/>
              <w:bottom w:val="none" w:color="FFFFFF" w:sz="0"/>
              <w:right w:val="none" w:color="FFFFFF" w:sz="0"/>
            </w:tcBorders>
            <w:tcMar>
              <w:top w:type="dxa" w:w="120"/>
              <w:left w:type="dxa" w:w="0"/>
              <w:bottom w:type="dxa" w:w="0"/>
              <w:right w:type="dxa" w:w="0"/>
            </w:tcMar>
            <w:vAlign w:val="top"/>
          </w:tcPr>
          <w:p>
            <w:pPr>
              <w:spacing w:after="80" w:before="0"/>
            </w:pPr>
            <w:r>
              <w:rPr>
                <w:rFonts w:ascii="Calibri" w:cs="Calibri" w:eastAsia="Calibri" w:hAnsi="Calibri"/>
                <w:color w:val="1F2937"/>
                <w:sz w:val="19"/>
                <w:szCs w:val="19"/>
              </w:rPr>
              <w:t xml:space="preserve">References Available Upon Request</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sj-qrschxp-8gwxxxakw" Type="http://schemas.openxmlformats.org/officeDocument/2006/relationships/hyperlink" Target="https://oowusu.com" TargetMode="External"/><Relationship Id="rId5k024rnjxy1hbe8sw9m-v" Type="http://schemas.openxmlformats.org/officeDocument/2006/relationships/hyperlink" Target="https://www.linkedin.com/in/obed-owusu15/" TargetMode="External"/><Relationship Id="rId4bjyi6pzksec8fmniyi9y" Type="http://schemas.openxmlformats.org/officeDocument/2006/relationships/hyperlink" Target="https://github.com/obed015/SecureCloud-Hub" TargetMode="External"/><Relationship Id="rIdg2alvpxlv_novb_kniiwd" Type="http://schemas.openxmlformats.org/officeDocument/2006/relationships/hyperlink" Target="https://oowusu.com/secure-cloud-hub-engineering-deepdive.html" TargetMode="External"/><Relationship Id="rIdz9kzaclcep-9t-wrqpxp5" Type="http://schemas.openxmlformats.org/officeDocument/2006/relationships/hyperlink" Target="https://github.com/obed015/azure-onboard-automator" TargetMode="External"/><Relationship Id="rId-bsuzeqh6jjkce3rulyfz" Type="http://schemas.openxmlformats.org/officeDocument/2006/relationships/hyperlink" Target="https://oowusu.com/azure-onboard-automator.html" TargetMode="External"/><Relationship Id="rIdwmuzvlsykrkccjvelxzmu" Type="http://schemas.openxmlformats.org/officeDocument/2006/relationships/hyperlink" Target="https://oowusu.com/cloud-policy-compliance-dashboard.html" TargetMode="External"/><Relationship Id="rIdcti6ngjlmhw3lxgizsjxm" Type="http://schemas.openxmlformats.org/officeDocument/2006/relationships/hyperlink" Target="https://oowusu.com/cloud-policy-compliance-dashboard-deepdive.html"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2026-04-21T21:12:23.832Z</dcterms:created>
  <dcterms:modified xsi:type="dcterms:W3CDTF">2026-04-21T21:12:23.833Z</dcterms:modified>
</cp:coreProperties>
</file>

<file path=docProps/custom.xml><?xml version="1.0" encoding="utf-8"?>
<Properties xmlns="http://schemas.openxmlformats.org/officeDocument/2006/custom-properties" xmlns:vt="http://schemas.openxmlformats.org/officeDocument/2006/docPropsVTypes"/>
</file>