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17/03/2025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CANNOG0086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Daniela Renee Moreno Castro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13/11/2019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F84.0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Imitaciones motoras gruesas</w:t>
      </w:r>
    </w:p>
    <w:p>
      <w:pPr>
        <w:pStyle w:val="ListBullet"/>
      </w:pPr>
      <w:r>
        <w:t>Imitaciones motoras finas</w:t>
      </w:r>
    </w:p>
    <w:p>
      <w:pPr>
        <w:pStyle w:val="ListBullet"/>
      </w:pPr>
      <w:r>
        <w:t>Imitación de movimientos orofaciales</w:t>
      </w:r>
    </w:p>
    <w:p/>
    <w:p>
      <w:r>
        <w:rPr>
          <w:b/>
        </w:rPr>
        <w:t>Avance de los objetivos planteados</w:t>
      </w:r>
    </w:p>
    <w:p>
      <w:r>
        <w:t>El paciente ha mostrado los siguientes avances para cada objetivo:</w:t>
      </w:r>
    </w:p>
    <w:p>
      <w:pPr>
        <w:pStyle w:val="ListBullet"/>
      </w:pPr>
      <w:r>
        <w:t>Imitaciones motoras gruesas: Reproduce patrones de movimiento corporal amplios con sincronía y coordinación visomotora autónoma.</w:t>
      </w:r>
    </w:p>
    <w:p>
      <w:pPr>
        <w:pStyle w:val="ListBullet"/>
      </w:pPr>
      <w:r>
        <w:t>Imitaciones motoras finas: Logra algunas reproducciones digitales básicas con apoyo de moldes táctiles y corrección manual intermitente.</w:t>
      </w:r>
    </w:p>
    <w:p>
      <w:pPr>
        <w:pStyle w:val="ListBullet"/>
      </w:pPr>
      <w:r>
        <w:t>Imitación de movimientos orofaciales: Controla voluntariamente músculos faciales y linguales para replicar modelos oromotores complejos.</w:t>
      </w:r>
    </w:p>
    <w:p/>
    <w:p>
      <w:r>
        <w:rPr>
          <w:b/>
        </w:rPr>
        <w:t>Nuevos objetivos</w:t>
      </w:r>
    </w:p>
    <w:p>
      <w:pPr>
        <w:pStyle w:val="ListBullet"/>
      </w:pPr>
      <w:r>
        <w:t>Respuesta al nombre</w:t>
      </w:r>
    </w:p>
    <w:p>
      <w:pPr>
        <w:pStyle w:val="ListBullet"/>
      </w:pPr>
      <w:r>
        <w:t>Mírame</w:t>
      </w:r>
    </w:p>
    <w:p>
      <w:pPr>
        <w:pStyle w:val="ListBullet"/>
      </w:pPr>
      <w:r>
        <w:t>Mira</w:t>
      </w:r>
    </w:p>
    <w:p>
      <w:pPr>
        <w:pStyle w:val="ListBullet"/>
      </w:pPr>
      <w:r>
        <w:t>Seguimiento de instrucciones básicas</w:t>
      </w:r>
    </w:p>
    <w:p>
      <w:pPr>
        <w:pStyle w:val="ListBullet"/>
      </w:pPr>
      <w:r>
        <w:t>Señalar con índice</w:t>
      </w:r>
    </w:p>
    <w:p>
      <w:pPr>
        <w:pStyle w:val="ListBullet"/>
      </w:pPr>
      <w:r>
        <w:t>Responder sí y no con la cabeza</w:t>
      </w:r>
    </w:p>
    <w:p>
      <w:pPr>
        <w:pStyle w:val="ListBullet"/>
      </w:pPr>
      <w:r>
        <w:t>Reconocimiento de esquema corporal</w:t>
      </w:r>
    </w:p>
    <w:p>
      <w:pPr>
        <w:pStyle w:val="ListBullet"/>
      </w:pPr>
      <w:r>
        <w:t>Emparejamiento de estímulos visuales</w:t>
      </w:r>
    </w:p>
    <w:p>
      <w:pPr>
        <w:pStyle w:val="ListBullet"/>
      </w:pPr>
      <w:r>
        <w:t>Vocabulario receptivo</w:t>
      </w:r>
    </w:p>
    <w:p>
      <w:pPr>
        <w:pStyle w:val="ListBullet"/>
      </w:pPr>
      <w:r>
        <w:t>Seguimiento de instrucciones con objetos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x</w:t>
      </w:r>
    </w:p>
    <w:p>
      <w:r>
        <w:rPr>
          <w:b/>
        </w:rPr>
        <w:t>Tratamiento:</w:t>
      </w:r>
    </w:p>
    <w:p>
      <w:r>
        <w:t>x</w:t>
      </w:r>
    </w:p>
    <w:p/>
    <w:p>
      <w:r>
        <w:rPr>
          <w:b/>
        </w:rPr>
        <w:t>Sugerencias para casa</w:t>
      </w:r>
    </w:p>
    <w:p/>
    <w:p>
      <w:pPr>
        <w:jc w:val="center"/>
      </w:pPr>
      <w:r>
        <w:t>Elaborado por: Obed Luna Velázquez</w:t>
      </w:r>
    </w:p>
    <w:p>
      <w:pPr>
        <w:jc w:val="center"/>
      </w:pPr>
      <w:r>
        <w:t>Cédula: 11534750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