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56"/>
          <w:szCs w:val="56"/>
        </w:rPr>
        <w:t xml:space="preserve">YouFundThat</w:t>
      </w:r>
    </w:p>
    <w:p>
      <w:pPr>
        <w:spacing w:after="360"/>
        <w:jc w:val="center"/>
      </w:pPr>
      <w:r>
        <w:rPr>
          <w:i/>
          <w:iCs/>
          <w:color w:val="666666"/>
          <w:sz w:val="24"/>
          <w:szCs w:val="24"/>
        </w:rPr>
        <w:t xml:space="preserve">youfundthat.eu</w:t>
      </w:r>
    </w:p>
    <w:p>
      <w:pPr>
        <w:spacing w:after="120"/>
        <w:jc w:val="center"/>
      </w:pPr>
      <w:r>
        <w:rPr>
          <w:b/>
          <w:bCs/>
          <w:sz w:val="36"/>
          <w:szCs w:val="36"/>
        </w:rPr>
        <w:t xml:space="preserve">Méthodologie de Scoring — Version 1.1</w:t>
      </w:r>
    </w:p>
    <w:p>
      <w:pPr>
        <w:spacing w:after="120"/>
        <w:jc w:val="center"/>
      </w:pPr>
      <w:r>
        <w:rPr>
          <w:b/>
          <w:bCs/>
          <w:sz w:val="24"/>
          <w:szCs w:val="24"/>
        </w:rPr>
        <w:t xml:space="preserve">Document public — reproductible par tout tiers</w:t>
      </w:r>
    </w:p>
    <w:p>
      <w:pPr>
        <w:spacing w:after="360"/>
        <w:jc w:val="center"/>
      </w:pPr>
      <w:r>
        <w:rPr>
          <w:color w:val="666666"/>
          <w:sz w:val="22"/>
          <w:szCs w:val="22"/>
        </w:rPr>
        <w:t xml:space="preserve">Système binaire · Calcul automatique · Auditabilité totale</w:t>
      </w:r>
    </w:p>
    <w:p>
      <w:pPr>
        <w:spacing w:after="120"/>
        <w:jc w:val="center"/>
      </w:pPr>
      <w:r>
        <w:rPr>
          <w:i/>
          <w:iCs/>
          <w:sz w:val="22"/>
          <w:szCs w:val="22"/>
        </w:rPr>
        <w:t xml:space="preserve">Juin 2026</w:t>
      </w:r>
    </w:p>
    <w:p>
      <w:pPr>
        <w:jc w:val="center"/>
      </w:pPr>
      <w:r>
        <w:rPr>
          <w:i/>
          <w:iCs/>
          <w:color w:val="666666"/>
          <w:sz w:val="20"/>
          <w:szCs w:val="20"/>
        </w:rPr>
        <w:t xml:space="preserve">Version 1.1 — remplace la V1.0. Modifications détaillées dans le changelog public sur /boussole.</w:t>
      </w:r>
    </w:p>
    <w:p>
      <w:r>
        <w:br w:type="page"/>
      </w:r>
    </w:p>
    <w:p>
      <w:pPr>
        <w:pStyle w:val="Heading1"/>
      </w:pPr>
      <w:r>
        <w:t xml:space="preserve">1. Principes fondateurs du système de scoring</w:t>
      </w:r>
    </w:p>
    <w:p>
      <w:pPr>
        <w:spacing w:after="120"/>
      </w:pPr>
      <w:r>
        <w:t xml:space="preserve">La méthodologie de YouFundThat repose sur trois principes non-négociables, choisis pour garantir la crédibilité et l’auditabilité de l’outil.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Principe 1 — Binaire : fait prouvé ou absent</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Un critère vaut ses points si et seulement si un fait documenté, sourcé et vérifié le confirme.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Il vaut 0 dans tous les autres cas : fait non prouvé, source insuffisante, allégation non confirmée.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Il n’y a pas de demi-points, pas d’appréciation subjective, pas de « probablement ».</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Conséquence : un score bas ne signifie pas que l’entreprise est « mauvaise » — il signifie que les preuves publiques disponibles sont insuffisantes ou défavorables.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Principe 2 — Automatique : recalcul à chaque mise à jour</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Le score est calculé par requête SQL sur la table facts à chaque fois qu’un fait est ajouté, modifié ou supprimé. Il n’est jamais saisi manuellement.</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L’équipe éditoriale valide les faits (champ verified=true) — le score résulte de cette validation.</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La validation requiert deux éditeurs distincts : celui qui propose un fait ne peut pas le valider lui-même.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Avantage : un score corrigé dès qu’une erreur est détectée, sans intervention sur le score lui-même.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Principe 3 — Public : reproductible par tout tiers</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Cette méthodologie est publiée intégralement sur youfundthat.eu/boussole.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Tout journaliste, chercheur ou citoyen peut recalculer n’importe quel score en consultant les sources primaires listées dans la base de données.</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Un désaccord sur un score se résout par les sources, pas par une autorité éditoriale.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Le journal d’audit de toutes les modifications de faits est public et immuable.</w:t>
            </w:r>
          </w:p>
        </w:tc>
      </w:tr>
    </w:tbl>
    <w:p>
      <w:pPr>
        <w:pStyle w:val="Heading1"/>
      </w:pPr>
      <w:r>
        <w:t xml:space="preserve">2. Structure générale du score</w:t>
      </w:r>
    </w:p>
    <w:p>
      <w:pPr>
        <w:pStyle w:val="Heading2"/>
      </w:pPr>
      <w:r>
        <w:t xml:space="preserve">2.1 Échelle et calcul</w:t>
      </w:r>
    </w:p>
    <w:p>
      <w:pPr>
        <w:spacing w:after="120"/>
      </w:pPr>
      <w:r>
        <w:t xml:space="preserve">Chaque entreprise reçoit un score sur chacun des 5 axes boussole. Le score est exprimé sur une échelle de -10 à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126"/>
      </w:tblGrid>
      <w:tr>
        <w:trPr>
          <w:tblHeader/>
        </w:trPr>
        <w:tc>
          <w:tcPr>
            <w:tcW w:type="dxa" w:w="23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Composante</w:t>
            </w:r>
          </w:p>
        </w:tc>
        <w:tc>
          <w:tcPr>
            <w:tcW w:type="dxa" w:w="26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Plage</w:t>
            </w:r>
          </w:p>
        </w:tc>
        <w:tc>
          <w:tcPr>
            <w:tcW w:type="dxa" w:w="41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Logique</w:t>
            </w:r>
          </w:p>
        </w:tc>
      </w:tr>
      <w:tr>
        <w:tc>
          <w:tcPr>
            <w:tcW w:type="dxa" w:w="23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Points négatifs</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-10 à 0</w:t>
            </w:r>
          </w:p>
        </w:tc>
        <w:tc>
          <w:tcPr>
            <w:tcW w:type="dxa" w:w="41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Chaque fait défavorable vérifié retire des points</w:t>
            </w:r>
          </w:p>
        </w:tc>
      </w:tr>
      <w:tr>
        <w:tc>
          <w:tcPr>
            <w:tcW w:type="dxa" w:w="23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Points positifs</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0 à +10</w:t>
            </w:r>
          </w:p>
        </w:tc>
        <w:tc>
          <w:tcPr>
            <w:tcW w:type="dxa" w:w="41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Chaque fait favorable vérifié ajoute des points</w:t>
            </w:r>
          </w:p>
        </w:tc>
      </w:tr>
      <w:tr>
        <w:tc>
          <w:tcPr>
            <w:tcW w:type="dxa" w:w="23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Poids effectif</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weight × décote</w:t>
            </w:r>
          </w:p>
        </w:tc>
        <w:tc>
          <w:tcPr>
            <w:tcW w:type="dxa" w:w="41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Poids du fait après décote temporelle (section 2.4)</w:t>
            </w:r>
          </w:p>
        </w:tc>
      </w:tr>
      <w:tr>
        <w:tc>
          <w:tcPr>
            <w:tcW w:type="dxa" w:w="23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brut</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Somme algébrique</w:t>
            </w:r>
          </w:p>
        </w:tc>
        <w:tc>
          <w:tcPr>
            <w:tcW w:type="dxa" w:w="41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Σ poids effectifs positifs + Σ poids effectifs négatifs</w:t>
            </w:r>
          </w:p>
        </w:tc>
      </w:tr>
      <w:tr>
        <w:tc>
          <w:tcPr>
            <w:tcW w:type="dxa" w:w="23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final</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max(-10, min(+10, brut))</w:t>
            </w:r>
          </w:p>
        </w:tc>
        <w:tc>
          <w:tcPr>
            <w:tcW w:type="dxa" w:w="41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Plafonné à ±10 — évite les effets d’accumulation</w:t>
            </w:r>
          </w:p>
        </w:tc>
      </w:tr>
      <w:tr>
        <w:tc>
          <w:tcPr>
            <w:tcW w:type="dxa" w:w="23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global</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Moyenne des 5 axes</w:t>
            </w:r>
          </w:p>
        </w:tc>
        <w:tc>
          <w:tcPr>
            <w:tcW w:type="dxa" w:w="41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(axe1+axe2+axe3+axe4+axe5) / 5, arrondi à 1 décimale</w:t>
            </w:r>
          </w:p>
        </w:tc>
      </w:tr>
    </w:tbl>
    <w:p>
      <w:pPr>
        <w:spacing w:after="120"/>
      </w:pPr>
    </w:p>
    <w:p>
      <w:pPr>
        <w:spacing w:after="120"/>
      </w:pPr>
      <w:r>
        <w:rPr>
          <w:b/>
          <w:bCs/>
        </w:rPr>
        <w:t xml:space="preserve">Formule SQL de calcul automatique (Supabase / PostgreSQL) — </w:t>
      </w:r>
      <w:r>
        <w:rPr>
          <w:b/>
          <w:bCs/>
          <w:color w:val="1F4E79"/>
        </w:rPr>
        <w:t xml:space="preserve">intègre la décote temporelle de la section 2.4 (correction V1.1)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F2F2F2" w:val="clear"/>
            <w:tcMar>
              <w:top w:type="dxa" w:w="80"/>
              <w:left w:type="dxa" w:w="120"/>
              <w:bottom w:type="dxa" w:w="80"/>
              <w:right w:type="dxa" w:w="120"/>
            </w:tcMar>
          </w:tcPr>
          <w:p>
            <w:pPr>
              <w:spacing w:after="20"/>
            </w:pPr>
            <w:r>
              <w:rPr>
                <w:rFonts w:ascii="Consolas" w:cs="Consolas" w:eastAsia="Consolas" w:hAnsi="Consolas"/>
                <w:sz w:val="18"/>
                <w:szCs w:val="18"/>
              </w:rPr>
              <w:t xml:space="preserve">-- Poids effectif d'un fait (décote temporelle, section 2.4) :</w:t>
            </w:r>
          </w:p>
          <w:p>
            <w:pPr>
              <w:spacing w:after="20"/>
            </w:pPr>
            <w:r>
              <w:rPr>
                <w:rFonts w:ascii="Consolas" w:cs="Consolas" w:eastAsia="Consolas" w:hAnsi="Consolas"/>
                <w:sz w:val="18"/>
                <w:szCs w:val="18"/>
              </w:rPr>
              <w:t xml:space="preserve">--   weight_effectif = weight * decote(année)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Score d'un axe pour une entreprise :</w:t>
            </w:r>
          </w:p>
          <w:p>
            <w:pPr>
              <w:spacing w:after="20"/>
            </w:pPr>
            <w:r>
              <w:rPr>
                <w:rFonts w:ascii="Consolas" w:cs="Consolas" w:eastAsia="Consolas" w:hAnsi="Consolas"/>
                <w:sz w:val="18"/>
                <w:szCs w:val="18"/>
              </w:rPr>
              <w:t xml:space="preserve">SELECT</w:t>
            </w:r>
          </w:p>
          <w:p>
            <w:pPr>
              <w:spacing w:after="20"/>
            </w:pPr>
            <w:r>
              <w:rPr>
                <w:rFonts w:ascii="Consolas" w:cs="Consolas" w:eastAsia="Consolas" w:hAnsi="Consolas"/>
                <w:sz w:val="18"/>
                <w:szCs w:val="18"/>
              </w:rPr>
              <w:t xml:space="preserve">  GREATEST(-10, LEAST(10,</w:t>
            </w:r>
          </w:p>
          <w:p>
            <w:pPr>
              <w:spacing w:after="20"/>
            </w:pPr>
            <w:r>
              <w:rPr>
                <w:rFonts w:ascii="Consolas" w:cs="Consolas" w:eastAsia="Consolas" w:hAnsi="Consolas"/>
                <w:sz w:val="18"/>
                <w:szCs w:val="18"/>
              </w:rPr>
              <w:t xml:space="preserve">    COALESCE(SUM(</w:t>
            </w:r>
          </w:p>
          <w:p>
            <w:pPr>
              <w:spacing w:after="20"/>
            </w:pPr>
            <w:r>
              <w:rPr>
                <w:rFonts w:ascii="Consolas" w:cs="Consolas" w:eastAsia="Consolas" w:hAnsi="Consolas"/>
                <w:sz w:val="18"/>
                <w:szCs w:val="18"/>
              </w:rPr>
              <w:t xml:space="preserve">      CASE WHEN fact_type='negative' THEN -1 ELSE 1 END</w:t>
            </w:r>
          </w:p>
          <w:p>
            <w:pPr>
              <w:spacing w:after="20"/>
            </w:pPr>
            <w:r>
              <w:rPr>
                <w:rFonts w:ascii="Consolas" w:cs="Consolas" w:eastAsia="Consolas" w:hAnsi="Consolas"/>
                <w:sz w:val="18"/>
                <w:szCs w:val="18"/>
              </w:rPr>
              <w:t xml:space="preserve">      * weight</w:t>
            </w:r>
          </w:p>
          <w:p>
            <w:pPr>
              <w:spacing w:after="20"/>
            </w:pPr>
            <w:r>
              <w:rPr>
                <w:rFonts w:ascii="Consolas" w:cs="Consolas" w:eastAsia="Consolas" w:hAnsi="Consolas"/>
                <w:sz w:val="18"/>
                <w:szCs w:val="18"/>
              </w:rPr>
              <w:t xml:space="preserve">      * CASE WHEN (EXTRACT(YEAR FROM NOW()) - year) &lt;= 5  THEN 1.0</w:t>
            </w:r>
          </w:p>
          <w:p>
            <w:pPr>
              <w:spacing w:after="20"/>
            </w:pPr>
            <w:r>
              <w:rPr>
                <w:rFonts w:ascii="Consolas" w:cs="Consolas" w:eastAsia="Consolas" w:hAnsi="Consolas"/>
                <w:sz w:val="18"/>
                <w:szCs w:val="18"/>
              </w:rPr>
              <w:t xml:space="preserve">             WHEN (EXTRACT(YEAR FROM NOW()) - year) &lt;= 10 THEN 0.5</w:t>
            </w:r>
          </w:p>
          <w:p>
            <w:pPr>
              <w:spacing w:after="20"/>
            </w:pPr>
            <w:r>
              <w:rPr>
                <w:rFonts w:ascii="Consolas" w:cs="Consolas" w:eastAsia="Consolas" w:hAnsi="Consolas"/>
                <w:sz w:val="18"/>
                <w:szCs w:val="18"/>
              </w:rPr>
              <w:t xml:space="preserve">             ELSE 0.0 END</w:t>
            </w:r>
          </w:p>
          <w:p>
            <w:pPr>
              <w:spacing w:after="20"/>
            </w:pPr>
            <w:r>
              <w:rPr>
                <w:rFonts w:ascii="Consolas" w:cs="Consolas" w:eastAsia="Consolas" w:hAnsi="Consolas"/>
                <w:sz w:val="18"/>
                <w:szCs w:val="18"/>
              </w:rPr>
              <w:t xml:space="preserve">    ), 0)</w:t>
            </w:r>
          </w:p>
          <w:p>
            <w:pPr>
              <w:spacing w:after="20"/>
            </w:pPr>
            <w:r>
              <w:rPr>
                <w:rFonts w:ascii="Consolas" w:cs="Consolas" w:eastAsia="Consolas" w:hAnsi="Consolas"/>
                <w:sz w:val="18"/>
                <w:szCs w:val="18"/>
              </w:rPr>
              <w:t xml:space="preserve">  )) AS score_axe</w:t>
            </w:r>
          </w:p>
          <w:p>
            <w:pPr>
              <w:spacing w:after="20"/>
            </w:pPr>
            <w:r>
              <w:rPr>
                <w:rFonts w:ascii="Consolas" w:cs="Consolas" w:eastAsia="Consolas" w:hAnsi="Consolas"/>
                <w:sz w:val="18"/>
                <w:szCs w:val="18"/>
              </w:rPr>
              <w:t xml:space="preserve">FROM facts</w:t>
            </w:r>
          </w:p>
          <w:p>
            <w:pPr>
              <w:spacing w:after="20"/>
            </w:pPr>
            <w:r>
              <w:rPr>
                <w:rFonts w:ascii="Consolas" w:cs="Consolas" w:eastAsia="Consolas" w:hAnsi="Consolas"/>
                <w:sz w:val="18"/>
                <w:szCs w:val="18"/>
              </w:rPr>
              <w:t xml:space="preserve">WHERE company_id = $1 AND axis = $2 AND verified = true;</w:t>
            </w:r>
          </w:p>
          <w:p>
            <w:pPr>
              <w:spacing w:after="20"/>
            </w:pPr>
            <w:r>
              <w:rPr>
                <w:rFonts w:ascii="Consolas" w:cs="Consolas" w:eastAsia="Consolas" w:hAnsi="Consolas"/>
                <w:sz w:val="18"/>
                <w:szCs w:val="18"/>
              </w:rPr>
              <w:t xml:space="preserve"/>
            </w:r>
          </w:p>
          <w:p>
            <w:pPr>
              <w:spacing w:after="20"/>
            </w:pPr>
            <w:r>
              <w:rPr>
                <w:rFonts w:ascii="Consolas" w:cs="Consolas" w:eastAsia="Consolas" w:hAnsi="Consolas"/>
                <w:sz w:val="18"/>
                <w:szCs w:val="18"/>
              </w:rPr>
              <w:t xml:space="preserve">-- Score global :</w:t>
            </w:r>
          </w:p>
          <w:p>
            <w:pPr>
              <w:spacing w:after="20"/>
            </w:pPr>
            <w:r>
              <w:rPr>
                <w:rFonts w:ascii="Consolas" w:cs="Consolas" w:eastAsia="Consolas" w:hAnsi="Consolas"/>
                <w:sz w:val="18"/>
                <w:szCs w:val="18"/>
              </w:rPr>
              <w:t xml:space="preserve">SELECT ROUND(AVG(score_axe)::numeric, 1) AS score_global</w:t>
            </w:r>
          </w:p>
          <w:p>
            <w:pPr>
              <w:spacing w:after="20"/>
            </w:pPr>
            <w:r>
              <w:rPr>
                <w:rFonts w:ascii="Consolas" w:cs="Consolas" w:eastAsia="Consolas" w:hAnsi="Consolas"/>
                <w:sz w:val="18"/>
                <w:szCs w:val="18"/>
              </w:rPr>
              <w:t xml:space="preserve">FROM (/* sous-requête des 5 axes ci-dessus */);</w:t>
            </w:r>
          </w:p>
        </w:tc>
      </w:tr>
    </w:tbl>
    <w:p>
      <w:pPr>
        <w:spacing w:after="120"/>
      </w:pPr>
    </w:p>
    <w:p>
      <w:pPr>
        <w:pStyle w:val="Heading2"/>
      </w:pPr>
      <w:r>
        <w:t xml:space="preserve">2.2 Structure d’un fait dans la base</w:t>
      </w:r>
    </w:p>
    <w:p>
      <w:pPr>
        <w:spacing w:after="120"/>
      </w:pPr>
      <w:r>
        <w:t xml:space="preserve">Chaque fait contribuant au score porte les champs suivants dans la table facts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Champ</w:t>
            </w:r>
          </w:p>
        </w:tc>
        <w:tc>
          <w:tcPr>
            <w:tcW w:type="dxa" w:w="34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Valeurs possibles</w:t>
            </w:r>
          </w:p>
        </w:tc>
        <w:tc>
          <w:tcPr>
            <w:tcW w:type="dxa" w:w="39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Description</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axis</w:t>
            </w:r>
          </w:p>
        </w:tc>
        <w:tc>
          <w:tcPr>
            <w:tcW w:type="dxa" w:w="3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fiscal │ lobbying │ data │ labor │ democracy</w:t>
            </w:r>
          </w:p>
        </w:tc>
        <w:tc>
          <w:tcPr>
            <w:tcW w:type="dxa" w:w="39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Axe boussole concerné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fact_type</w:t>
            </w:r>
          </w:p>
        </w:tc>
        <w:tc>
          <w:tcPr>
            <w:tcW w:type="dxa" w:w="3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positive │ negative</w:t>
            </w:r>
          </w:p>
        </w:tc>
        <w:tc>
          <w:tcPr>
            <w:tcW w:type="dxa" w:w="39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Direction du fait sur le score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weight</w:t>
            </w:r>
          </w:p>
        </w:tc>
        <w:tc>
          <w:tcPr>
            <w:tcW w:type="dxa" w:w="3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 2 ou 3</w:t>
            </w:r>
          </w:p>
        </w:tc>
        <w:tc>
          <w:tcPr>
            <w:tcW w:type="dxa" w:w="39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Gravité du fait (voir section 2.3)</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verified</w:t>
            </w:r>
          </w:p>
        </w:tc>
        <w:tc>
          <w:tcPr>
            <w:tcW w:type="dxa" w:w="3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true │ false</w:t>
            </w:r>
          </w:p>
        </w:tc>
        <w:tc>
          <w:tcPr>
            <w:tcW w:type="dxa" w:w="39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false = jamais affiché ni comptabilisé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source_url</w:t>
            </w:r>
          </w:p>
        </w:tc>
        <w:tc>
          <w:tcPr>
            <w:tcW w:type="dxa" w:w="3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URL obligatoire</w:t>
            </w:r>
          </w:p>
        </w:tc>
        <w:tc>
          <w:tcPr>
            <w:tcW w:type="dxa" w:w="39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Source primaire — condition sine qua non de verified=true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year</w:t>
            </w:r>
          </w:p>
        </w:tc>
        <w:tc>
          <w:tcPr>
            <w:tcW w:type="dxa" w:w="3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Entier (année civile)</w:t>
            </w:r>
          </w:p>
        </w:tc>
        <w:tc>
          <w:tcPr>
            <w:tcW w:type="dxa" w:w="39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Année du fait — base de la décote temporelle (section 2.4)</w:t>
            </w:r>
          </w:p>
        </w:tc>
      </w:tr>
    </w:tbl>
    <w:p>
      <w:pPr>
        <w:spacing w:after="120"/>
      </w:pPr>
    </w:p>
    <w:p>
      <w:pPr>
        <w:pStyle w:val="Heading2"/>
      </w:pPr>
      <w:r>
        <w:t xml:space="preserve">2.3 Pondération par gravité (weight)</w:t>
      </w:r>
    </w:p>
    <w:p>
      <w:pPr>
        <w:spacing w:after="120"/>
      </w:pPr>
      <w:r>
        <w:t xml:space="preserve">Le système binaire s’applique à l’existence du fait. La pondération s’applique à sa gravité. Ce n’est pas une appréciation subjective — chaque niveau est défini par le type de source.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626"/>
      </w:tblGrid>
      <w:tr>
        <w:trPr>
          <w:tblHeader/>
        </w:trPr>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Poids</w:t>
            </w:r>
          </w:p>
        </w:tc>
        <w:tc>
          <w:tcPr>
            <w:tcW w:type="dxa" w:w="26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Niveau</w:t>
            </w:r>
          </w:p>
        </w:tc>
        <w:tc>
          <w:tcPr>
            <w:tcW w:type="dxa" w:w="56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Définition et exemples de sources acceptées</w:t>
            </w:r>
          </w:p>
        </w:tc>
      </w:tr>
      <w:tr>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Fait établi définitivement</w:t>
            </w:r>
          </w:p>
        </w:tc>
        <w:tc>
          <w:tcPr>
            <w:tcW w:type="dxa" w:w="5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Jugement définitif d’une cour (CJUE, Cour de cassation) │ Amende payée documentée │ Condamnation pénale définitive │ Aveu public de l’entreprise</w:t>
            </w:r>
          </w:p>
        </w:tc>
      </w:tr>
      <w:tr>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Fait établi officiellement</w:t>
            </w:r>
          </w:p>
        </w:tc>
        <w:tc>
          <w:tcPr>
            <w:tcW w:type="dxa" w:w="5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réglementaire (APD, CNIL, FTC, NLRB) │ Rapport parlementaire │ Déclaration FEC enregistrée │ Rapport d’audit certifié │ Données EU Transparency Register</w:t>
            </w:r>
          </w:p>
        </w:tc>
      </w:tr>
      <w:tr>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26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Fait documenté publiquement</w:t>
            </w:r>
          </w:p>
        </w:tc>
        <w:tc>
          <w:tcPr>
            <w:tcW w:type="dxa" w:w="5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journalistique sérieuse (Reuters, OCCRP, Le Monde, Guardian…) │ Rapport ONG reconnue (Amnesty, HRW, Clean Clothes) │ Déclaration publique vérifiable │ Données OpenSanctions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FBE9E7" w:val="clear"/>
            <w:tcMar>
              <w:top w:type="dxa" w:w="80"/>
              <w:left w:type="dxa" w:w="120"/>
              <w:bottom w:type="dxa" w:w="80"/>
              <w:right w:type="dxa" w:w="120"/>
            </w:tcMar>
          </w:tcPr>
          <w:p>
            <w:pPr>
              <w:spacing w:after="40"/>
            </w:pPr>
            <w:r>
              <w:rPr>
                <w:b/>
                <w:bCs/>
              </w:rPr>
              <w:t xml:space="preserve">Ce qui N’est PAS une source acceptée (weight interdit)</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Réseaux sociaux, blogs, forums, Wikipedia</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Rumeurs, allégations non confirmées, procédures en cours</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Sources partisanes sans documentation primaire sous-jacente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Extrapolations et déductions — seuls les faits explicitement documentés comptent</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Sources anonymes non corroborées</w:t>
            </w:r>
          </w:p>
        </w:tc>
      </w:tr>
    </w:tbl>
    <w:p>
      <w:pPr>
        <w:spacing w:after="120"/>
      </w:pPr>
    </w:p>
    <w:p>
      <w:pPr>
        <w:pStyle w:val="Heading2"/>
      </w:pPr>
      <w:r>
        <w:t xml:space="preserve">2.4 Décote temporelle</w:t>
      </w:r>
    </w:p>
    <w:p>
      <w:pPr>
        <w:spacing w:after="120"/>
      </w:pPr>
      <w:r>
        <w:t xml:space="preserve">Les faits datant de plus de 5 ans sont automatiquement pondérés à ×0,5 dans le calcul SQL. Les faits de plus de 10 ans ne sont plus comptabilisés dans le score (mais restent visibles dans la timeline).</w:t>
      </w:r>
    </w:p>
    <w:p>
      <w:pPr>
        <w:spacing w:after="120"/>
      </w:pPr>
      <w:r>
        <w:rPr>
          <w:b/>
          <w:bCs/>
          <w:color w:val="1F4E79"/>
        </w:rPr>
        <w:t xml:space="preserve">Précision V1.1 : </w:t>
      </w:r>
      <w:r>
        <w:t xml:space="preserve">la décote s’applique sans exception à tous les faits, résolus ou non. Décider qu’un fait est « résolu » serait une appréciation éditoriale, contraire au Principe 1. Un fait ancien qui perdure peut — et doit — être re-documenté par une source récente, qui constitue alors un nouveau fait à poids plein. L’âge est calculé en années civiles : les décotes évoluent chaque 1er janvier, de manière prévisible et identique pour tous.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F2F2F2" w:val="clear"/>
            <w:tcMar>
              <w:top w:type="dxa" w:w="80"/>
              <w:left w:type="dxa" w:w="120"/>
              <w:bottom w:type="dxa" w:w="80"/>
              <w:right w:type="dxa" w:w="120"/>
            </w:tcMar>
          </w:tcPr>
          <w:p>
            <w:pPr>
              <w:spacing w:after="20"/>
            </w:pPr>
            <w:r>
              <w:rPr>
                <w:rFonts w:ascii="Consolas" w:cs="Consolas" w:eastAsia="Consolas" w:hAnsi="Consolas"/>
                <w:sz w:val="18"/>
                <w:szCs w:val="18"/>
              </w:rPr>
              <w:t xml:space="preserve">-- Décote temporelle dans la requête SQL :</w:t>
            </w:r>
          </w:p>
          <w:p>
            <w:pPr>
              <w:spacing w:after="20"/>
            </w:pPr>
            <w:r>
              <w:rPr>
                <w:rFonts w:ascii="Consolas" w:cs="Consolas" w:eastAsia="Consolas" w:hAnsi="Consolas"/>
                <w:sz w:val="18"/>
                <w:szCs w:val="18"/>
              </w:rPr>
              <w:t xml:space="preserve">weight_effectif = weight * CASE</w:t>
            </w:r>
          </w:p>
          <w:p>
            <w:pPr>
              <w:spacing w:after="20"/>
            </w:pPr>
            <w:r>
              <w:rPr>
                <w:rFonts w:ascii="Consolas" w:cs="Consolas" w:eastAsia="Consolas" w:hAnsi="Consolas"/>
                <w:sz w:val="18"/>
                <w:szCs w:val="18"/>
              </w:rPr>
              <w:t xml:space="preserve">  WHEN (EXTRACT(YEAR FROM NOW()) - year) &lt;= 5  THEN 1.0</w:t>
            </w:r>
          </w:p>
          <w:p>
            <w:pPr>
              <w:spacing w:after="20"/>
            </w:pPr>
            <w:r>
              <w:rPr>
                <w:rFonts w:ascii="Consolas" w:cs="Consolas" w:eastAsia="Consolas" w:hAnsi="Consolas"/>
                <w:sz w:val="18"/>
                <w:szCs w:val="18"/>
              </w:rPr>
              <w:t xml:space="preserve">  WHEN (EXTRACT(YEAR FROM NOW()) - year) &lt;= 10 THEN 0.5</w:t>
            </w:r>
          </w:p>
          <w:p>
            <w:pPr>
              <w:spacing w:after="20"/>
            </w:pPr>
            <w:r>
              <w:rPr>
                <w:rFonts w:ascii="Consolas" w:cs="Consolas" w:eastAsia="Consolas" w:hAnsi="Consolas"/>
                <w:sz w:val="18"/>
                <w:szCs w:val="18"/>
              </w:rPr>
              <w:t xml:space="preserve">  ELSE 0.0  -- plus comptabilisé dans le score</w:t>
            </w:r>
          </w:p>
          <w:p>
            <w:pPr>
              <w:spacing w:after="20"/>
            </w:pPr>
            <w:r>
              <w:rPr>
                <w:rFonts w:ascii="Consolas" w:cs="Consolas" w:eastAsia="Consolas" w:hAnsi="Consolas"/>
                <w:sz w:val="18"/>
                <w:szCs w:val="18"/>
              </w:rPr>
              <w:t xml:space="preserve">END</w:t>
            </w:r>
          </w:p>
        </w:tc>
      </w:tr>
    </w:tbl>
    <w:p>
      <w:pPr>
        <w:spacing w:after="120"/>
      </w:pPr>
    </w:p>
    <w:p>
      <w:pPr>
        <w:spacing w:after="120"/>
      </w:pPr>
      <w:r>
        <w:rPr>
          <w:i/>
          <w:iCs/>
        </w:rPr>
        <w:t xml:space="preserve">Justification : une condamnation ancienne pèse moins qu’une amende récente. La décote reflète la réalité — les entreprises évoluent — et incite l’équipe éditoriale à maintenir la base à jour avec des sources récentes.</w:t>
      </w:r>
    </w:p>
    <w:p>
      <w:pPr>
        <w:pStyle w:val="Heading1"/>
      </w:pPr>
      <w:r>
        <w:t xml:space="preserve">3. Axe — Transparence fiscale européenne</w:t>
      </w:r>
    </w:p>
    <w:p>
      <w:pPr>
        <w:spacing w:after="120"/>
      </w:pPr>
      <w:r>
        <w:t xml:space="preserve">Mesure dans quelle mesure l’entreprise contribue fiscalement là où elle crée de la valeur en Europe. Axe clé : chaque euro d’impôt évité est un euro en moins pour les services publics européens.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800"/>
        <w:gridCol w:w="2726"/>
      </w:tblGrid>
      <w:tr>
        <w:trPr>
          <w:tblHeader/>
        </w:trPr>
        <w:tc>
          <w:tcPr>
            <w:tcW w:type="dxa" w:w="17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Catégorie</w:t>
            </w:r>
          </w:p>
        </w:tc>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Points</w:t>
            </w:r>
          </w:p>
        </w:tc>
        <w:tc>
          <w:tcPr>
            <w:tcW w:type="dxa" w:w="3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Critère (fait binaire)</w:t>
            </w:r>
          </w:p>
        </w:tc>
        <w:tc>
          <w:tcPr>
            <w:tcW w:type="dxa" w:w="27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Sources acceptées</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Condamnation définitive CJUE ou cour nationale pour avantages fiscaux illégaux</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Arrêts CJUE publiés, jugements nationaux définitifs</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Amende fiscale supérieure à 100M€ effectivement payée (pas en appel)</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Communiqués autorités fiscales, rapports annuels entreprise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Structure offshore documentée (Panama Papers, Pandora Papers, LuxLeaks)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ICIJ Offshore Leaks Database — source directe obligatoire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Taux effectif d’imposition &lt; 5% sur profits UE documenté officiellement</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pays-par-pays (CbCR) ou décision autorité fiscale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Procédure d’aide d’État ouverte par Commission Européenne (en cours)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Journal Officiel UE — décision d’ouverture publiée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journalistique sérieuse sur optimisation fiscale agressive UE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Reuters, OCCRP, Le Monde, Guardian — article daté et signé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Publication volontaire rapport pays-par-pays (CbCR) au-delà des obligations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CbCR accessible publiquement sur site entreprise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Certification B-Corp incluant volet fiscal vérifié</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Certification B-Lab valide et actuelle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Siège social ET siège fiscal dans le même pays UE que l’activité principale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Registre commerce + déclaration fiscale publique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Label « Fair Tax Mark » ou équivalent certifié indépendant</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Certification Fair Tax Mark valide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  Exemple de calcul — Apple Belgium / Apple Inc. (QID Q312) — recalculé V1.1</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Fait 1 : CJUE arrêt C-465/20 (2024) — avantages fiscaux illégaux Irlande</w:t>
            </w:r>
          </w:p>
          <w:p>
            <w:pPr>
              <w:spacing w:after="40"/>
            </w:pPr>
            <w:r>
              <w:rPr>
                <w:rFonts w:ascii="Consolas" w:cs="Consolas" w:eastAsia="Consolas" w:hAnsi="Consolas"/>
                <w:b w:val="false"/>
                <w:bCs w:val="false"/>
                <w:sz w:val="18"/>
                <w:szCs w:val="18"/>
              </w:rPr>
              <w:t xml:space="preserve">         →  weight=3 × 1.0 = 3.0, type=negative</w:t>
            </w:r>
          </w:p>
          <w:p>
            <w:pPr>
              <w:spacing w:after="40"/>
            </w:pPr>
            <w:r>
              <w:rPr>
                <w:rFonts w:ascii="Consolas" w:cs="Consolas" w:eastAsia="Consolas" w:hAnsi="Consolas"/>
                <w:b w:val="false"/>
                <w:bCs w:val="false"/>
                <w:sz w:val="18"/>
                <w:szCs w:val="18"/>
              </w:rPr>
              <w:t xml:space="preserve">Fait 2 : ICIJ LuxLeaks — structure Luxembourg documentée (2014, &gt;10 ans)</w:t>
            </w:r>
          </w:p>
          <w:p>
            <w:pPr>
              <w:spacing w:after="40"/>
            </w:pPr>
            <w:r>
              <w:rPr>
                <w:rFonts w:ascii="Consolas" w:cs="Consolas" w:eastAsia="Consolas" w:hAnsi="Consolas"/>
                <w:b w:val="false"/>
                <w:bCs w:val="false"/>
                <w:sz w:val="18"/>
                <w:szCs w:val="18"/>
              </w:rPr>
              <w:t xml:space="preserve">         →  weight=2 × 0.0 = 0 (décote — exclu du score)</w:t>
            </w:r>
          </w:p>
          <w:p>
            <w:pPr>
              <w:spacing w:after="40"/>
            </w:pPr>
            <w:r>
              <w:rPr>
                <w:rFonts w:ascii="Consolas" w:cs="Consolas" w:eastAsia="Consolas" w:hAnsi="Consolas"/>
                <w:b w:val="false"/>
                <w:bCs w:val="false"/>
                <w:sz w:val="18"/>
                <w:szCs w:val="18"/>
              </w:rPr>
              <w:t xml:space="preserve">Fait 3 : Taux effectif ~1% sur profits UE (décision CE 2016, 10 ans)</w:t>
            </w:r>
          </w:p>
          <w:p>
            <w:pPr>
              <w:spacing w:after="40"/>
            </w:pPr>
            <w:r>
              <w:rPr>
                <w:rFonts w:ascii="Consolas" w:cs="Consolas" w:eastAsia="Consolas" w:hAnsi="Consolas"/>
                <w:b w:val="false"/>
                <w:bCs w:val="false"/>
                <w:sz w:val="18"/>
                <w:szCs w:val="18"/>
              </w:rPr>
              <w:t xml:space="preserve">         →  weight=2 × 0.5 = 1.0, type=negative (décote)</w:t>
            </w:r>
          </w:p>
          <w:p>
            <w:pPr>
              <w:spacing w:after="40"/>
            </w:pPr>
            <w:r>
              <w:rPr>
                <w:rFonts w:ascii="Consolas" w:cs="Consolas" w:eastAsia="Consolas" w:hAnsi="Consolas"/>
                <w:b w:val="false"/>
                <w:bCs w:val="false"/>
                <w:sz w:val="18"/>
                <w:szCs w:val="18"/>
              </w:rPr>
              <w:t xml:space="preserve">─────────────────────────────────────────────</w:t>
            </w:r>
          </w:p>
          <w:p>
            <w:pPr>
              <w:spacing w:after="40"/>
            </w:pPr>
            <w:r>
              <w:rPr>
                <w:rFonts w:ascii="Consolas" w:cs="Consolas" w:eastAsia="Consolas" w:hAnsi="Consolas"/>
                <w:b w:val="false"/>
                <w:bCs w:val="false"/>
                <w:sz w:val="18"/>
                <w:szCs w:val="18"/>
              </w:rPr>
              <w:t xml:space="preserve">Score brut axe fiscal = -3 + 0 + -1 = -4</w:t>
            </w:r>
          </w:p>
          <w:p>
            <w:pPr>
              <w:spacing w:after="40"/>
            </w:pPr>
            <w:r>
              <w:rPr>
                <w:rFonts w:ascii="Consolas" w:cs="Consolas" w:eastAsia="Consolas" w:hAnsi="Consolas"/>
                <w:b w:val="false"/>
                <w:bCs w:val="false"/>
                <w:sz w:val="18"/>
                <w:szCs w:val="18"/>
              </w:rPr>
              <w:t xml:space="preserve">Score final = max(-10, min(+10, -4)) = -4</w:t>
            </w:r>
          </w:p>
        </w:tc>
      </w:tr>
    </w:tbl>
    <w:p>
      <w:pPr>
        <w:pStyle w:val="Heading1"/>
      </w:pPr>
      <w:r>
        <w:t xml:space="preserve">4. Axe — Lobbying institutionnel UE</w:t>
      </w:r>
    </w:p>
    <w:p>
      <w:pPr>
        <w:spacing w:after="120"/>
      </w:pPr>
      <w:r>
        <w:t xml:space="preserve">Mesure l’intensité et la transparence du lobbying exercé sur les institutions européennes. Le lobbying en soi n’est pas illégal — mais son intensité, son opacité et sa direction (pro ou anti-régulation citoyenne) le sont.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800"/>
        <w:gridCol w:w="2726"/>
      </w:tblGrid>
      <w:tr>
        <w:trPr>
          <w:tblHeader/>
        </w:trPr>
        <w:tc>
          <w:tcPr>
            <w:tcW w:type="dxa" w:w="17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Catégorie</w:t>
            </w:r>
          </w:p>
        </w:tc>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Points</w:t>
            </w:r>
          </w:p>
        </w:tc>
        <w:tc>
          <w:tcPr>
            <w:tcW w:type="dxa" w:w="3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Critère (fait binaire)</w:t>
            </w:r>
          </w:p>
        </w:tc>
        <w:tc>
          <w:tcPr>
            <w:tcW w:type="dxa" w:w="27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Sources acceptées</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Dépenses lobbying UE &gt; 5M€/an déclarées (EU Transparency Register)</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LobbyFacts.eu — données EU Transparency Register — année en cours ou N-1</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Dépenses lobbying UE entre 1M€ et 5M€/an déclarées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LobbyFacts.eu — données EU Transparency Register</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InfluenceMap E ou F (lobbying climatique très négatif)</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InfluenceMap LobbyMap — score publié sur lobbymap.org</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Appartenance à une association professionnelle condamnée pour lobbying trompeur UE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OLAF ou Parlement européen — source officielle obligatoire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Dépenses lobbying UE entre 100k€ et 1M€/an déclarées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LobbyFacts.eu — données EU Transparency Register</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InfluenceMap C ou D (lobbying climatique négatif)</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InfluenceMap LobbyMap</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documentée sur « revolving doors » avec institutions UE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Corporate Europe Observatory, Transparency International — rapport daté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Zéro déclaration au EU Transparency Register (lobbying absent)</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EU Transparency Register — absence confirmée par recherche active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InfluenceMap A ou B (lobbying climatique positif)</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InfluenceMap LobbyMap</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Soutien public documenté à une réglementation UE renforcée (RGPD, DSA, DMA…)</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Déclaration publique vérifiable — communiqué officiel entreprise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  Exemple de calcul — TotalEnergies (QID Q154347)</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Fait 1 : Dépenses lobbying UE = 2,8M€/an (LobbyFacts 2024)  →  weight=2 × 1.0, negative</w:t>
            </w:r>
          </w:p>
          <w:p>
            <w:pPr>
              <w:spacing w:after="40"/>
            </w:pPr>
            <w:r>
              <w:rPr>
                <w:rFonts w:ascii="Consolas" w:cs="Consolas" w:eastAsia="Consolas" w:hAnsi="Consolas"/>
                <w:b w:val="false"/>
                <w:bCs w:val="false"/>
                <w:sz w:val="18"/>
                <w:szCs w:val="18"/>
              </w:rPr>
              <w:t xml:space="preserve">Fait 2 : Score InfluenceMap = E (2025, lobbymap.org)          →  weight=2 × 1.0, negative</w:t>
            </w:r>
          </w:p>
          <w:p>
            <w:pPr>
              <w:spacing w:after="40"/>
            </w:pPr>
            <w:r>
              <w:rPr>
                <w:rFonts w:ascii="Consolas" w:cs="Consolas" w:eastAsia="Consolas" w:hAnsi="Consolas"/>
                <w:b w:val="false"/>
                <w:bCs w:val="false"/>
                <w:sz w:val="18"/>
                <w:szCs w:val="18"/>
              </w:rPr>
              <w:t xml:space="preserve">Fait 3 : Enquête CEO revolving door (Corporate Europe Obs. 2023) → weight=1 × 1.0, negative</w:t>
            </w:r>
          </w:p>
          <w:p>
            <w:pPr>
              <w:spacing w:after="40"/>
            </w:pPr>
            <w:r>
              <w:rPr>
                <w:rFonts w:ascii="Consolas" w:cs="Consolas" w:eastAsia="Consolas" w:hAnsi="Consolas"/>
                <w:b w:val="false"/>
                <w:bCs w:val="false"/>
                <w:sz w:val="18"/>
                <w:szCs w:val="18"/>
              </w:rPr>
              <w:t xml:space="preserve">─────────────────────────────────────────────</w:t>
            </w:r>
          </w:p>
          <w:p>
            <w:pPr>
              <w:spacing w:after="40"/>
            </w:pPr>
            <w:r>
              <w:rPr>
                <w:rFonts w:ascii="Consolas" w:cs="Consolas" w:eastAsia="Consolas" w:hAnsi="Consolas"/>
                <w:b w:val="false"/>
                <w:bCs w:val="false"/>
                <w:sz w:val="18"/>
                <w:szCs w:val="18"/>
              </w:rPr>
              <w:t xml:space="preserve">Score brut axe lobbying = -2 + -2 + -1 = -5</w:t>
            </w:r>
          </w:p>
          <w:p>
            <w:pPr>
              <w:spacing w:after="40"/>
            </w:pPr>
            <w:r>
              <w:rPr>
                <w:rFonts w:ascii="Consolas" w:cs="Consolas" w:eastAsia="Consolas" w:hAnsi="Consolas"/>
                <w:b w:val="false"/>
                <w:bCs w:val="false"/>
                <w:sz w:val="18"/>
                <w:szCs w:val="18"/>
              </w:rPr>
              <w:t xml:space="preserve">Score final = -5</w:t>
            </w:r>
          </w:p>
        </w:tc>
      </w:tr>
    </w:tbl>
    <w:p>
      <w:pPr>
        <w:pStyle w:val="Heading1"/>
      </w:pPr>
      <w:r>
        <w:t xml:space="preserve">5. Axe — Souveraineté des données européennes</w:t>
      </w:r>
    </w:p>
    <w:p>
      <w:pPr>
        <w:spacing w:after="120"/>
      </w:pPr>
      <w:r>
        <w:t xml:space="preserve">Mesure dans quelle mesure les données des citoyens européens restent sous juridiction et protection du droit européen. Axe spécifique à l’ère numérique — particulièrement pertinent pour les entreprises tech, telecom et services en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800"/>
        <w:gridCol w:w="2726"/>
      </w:tblGrid>
      <w:tr>
        <w:trPr>
          <w:tblHeader/>
        </w:trPr>
        <w:tc>
          <w:tcPr>
            <w:tcW w:type="dxa" w:w="17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Catégorie</w:t>
            </w:r>
          </w:p>
        </w:tc>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Points</w:t>
            </w:r>
          </w:p>
        </w:tc>
        <w:tc>
          <w:tcPr>
            <w:tcW w:type="dxa" w:w="3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Critère (fait binaire)</w:t>
            </w:r>
          </w:p>
        </w:tc>
        <w:tc>
          <w:tcPr>
            <w:tcW w:type="dxa" w:w="27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Sources acceptées</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Amende RGPD ≥ 100M€ prononcée et définitive (pas en appel)</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APD/CNIL/DPC publiée — source officielle obligatoire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Transfert massif de données UE vers juridiction sans accord d’adéquation (arrêt Schrems)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CJUE ou autorité de contrôle — source officielle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Amende RGPD entre 10M€ et 100M€ prononcée et définitive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APD/CNIL/DPC publiée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Infrastructure principale hors UE pour données citoyens européens (US/CN)</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Conditions d’utilisation + politique de confidentialité entreprise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Accès aux données UE par autorités d’un pays tiers documenté (ex: CLOUD Act)</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judiciaire publiée ou aveu entreprise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Amende RGPD &lt; 10M€ prononcée et définitive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APD/CNIL/DPC publiée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sérieuse en cours pour violation RGPD grave (sans décision finale)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Communiqué autorité de contrôle — enquête ouverte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Infrastructure 100% hébergée en UE, certifiée, données jamais transmises hors UE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Certification indépendante (SecNumCloud, C5, ISO 27001) + politique vérifiable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Certification ePrivacyseal ou équivalent européen valide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 valide et actuel — organisme accrédité UE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Siège de l’entité traitante en UE + DPO nommé + registre public</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Mentions légales + registre des traitements public</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  Exemple de calcul — Meta (QID Q380) — recalculé V1.1</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Fait 1 : Amende RGPD 1,2Mrd€ DPC Irlande (2023, définitif)</w:t>
            </w:r>
          </w:p>
          <w:p>
            <w:pPr>
              <w:spacing w:after="40"/>
            </w:pPr>
            <w:r>
              <w:rPr>
                <w:rFonts w:ascii="Consolas" w:cs="Consolas" w:eastAsia="Consolas" w:hAnsi="Consolas"/>
                <w:b w:val="false"/>
                <w:bCs w:val="false"/>
                <w:sz w:val="18"/>
                <w:szCs w:val="18"/>
              </w:rPr>
              <w:t xml:space="preserve">         →  weight=3 × 1.0 = 3.0, type=negative</w:t>
            </w:r>
          </w:p>
          <w:p>
            <w:pPr>
              <w:spacing w:after="40"/>
            </w:pPr>
            <w:r>
              <w:rPr>
                <w:rFonts w:ascii="Consolas" w:cs="Consolas" w:eastAsia="Consolas" w:hAnsi="Consolas"/>
                <w:b w:val="false"/>
                <w:bCs w:val="false"/>
                <w:sz w:val="18"/>
                <w:szCs w:val="18"/>
              </w:rPr>
              <w:t xml:space="preserve">Fait 2 : Transferts UE→US sans garanties (arrêt Schrems II, 2020, 6 ans)</w:t>
            </w:r>
          </w:p>
          <w:p>
            <w:pPr>
              <w:spacing w:after="40"/>
            </w:pPr>
            <w:r>
              <w:rPr>
                <w:rFonts w:ascii="Consolas" w:cs="Consolas" w:eastAsia="Consolas" w:hAnsi="Consolas"/>
                <w:b w:val="false"/>
                <w:bCs w:val="false"/>
                <w:sz w:val="18"/>
                <w:szCs w:val="18"/>
              </w:rPr>
              <w:t xml:space="preserve">         →  weight=3 × 0.5 = 1.5, type=negative (décote)</w:t>
            </w:r>
          </w:p>
          <w:p>
            <w:pPr>
              <w:spacing w:after="40"/>
            </w:pPr>
            <w:r>
              <w:rPr>
                <w:rFonts w:ascii="Consolas" w:cs="Consolas" w:eastAsia="Consolas" w:hAnsi="Consolas"/>
                <w:b w:val="false"/>
                <w:bCs w:val="false"/>
                <w:sz w:val="18"/>
                <w:szCs w:val="18"/>
              </w:rPr>
              <w:t xml:space="preserve">Fait 3 : Infrastructure principale hors UE (US data centers, 2025)</w:t>
            </w:r>
          </w:p>
          <w:p>
            <w:pPr>
              <w:spacing w:after="40"/>
            </w:pPr>
            <w:r>
              <w:rPr>
                <w:rFonts w:ascii="Consolas" w:cs="Consolas" w:eastAsia="Consolas" w:hAnsi="Consolas"/>
                <w:b w:val="false"/>
                <w:bCs w:val="false"/>
                <w:sz w:val="18"/>
                <w:szCs w:val="18"/>
              </w:rPr>
              <w:t xml:space="preserve">         →  weight=2 × 1.0 = 2.0, type=negative</w:t>
            </w:r>
          </w:p>
          <w:p>
            <w:pPr>
              <w:spacing w:after="40"/>
            </w:pPr>
            <w:r>
              <w:rPr>
                <w:rFonts w:ascii="Consolas" w:cs="Consolas" w:eastAsia="Consolas" w:hAnsi="Consolas"/>
                <w:b w:val="false"/>
                <w:bCs w:val="false"/>
                <w:sz w:val="18"/>
                <w:szCs w:val="18"/>
              </w:rPr>
              <w:t xml:space="preserve">─────────────────────────────────────────────</w:t>
            </w:r>
          </w:p>
          <w:p>
            <w:pPr>
              <w:spacing w:after="40"/>
            </w:pPr>
            <w:r>
              <w:rPr>
                <w:rFonts w:ascii="Consolas" w:cs="Consolas" w:eastAsia="Consolas" w:hAnsi="Consolas"/>
                <w:b w:val="false"/>
                <w:bCs w:val="false"/>
                <w:sz w:val="18"/>
                <w:szCs w:val="18"/>
              </w:rPr>
              <w:t xml:space="preserve">Score brut axe données = -3 + -1.5 + -2 = -6.5</w:t>
            </w:r>
          </w:p>
          <w:p>
            <w:pPr>
              <w:spacing w:after="40"/>
            </w:pPr>
            <w:r>
              <w:rPr>
                <w:rFonts w:ascii="Consolas" w:cs="Consolas" w:eastAsia="Consolas" w:hAnsi="Consolas"/>
                <w:b w:val="false"/>
                <w:bCs w:val="false"/>
                <w:sz w:val="18"/>
                <w:szCs w:val="18"/>
              </w:rPr>
              <w:t xml:space="preserve">Score final = max(-10, min(+10, -6.5)) = -6.5</w:t>
            </w:r>
          </w:p>
        </w:tc>
      </w:tr>
    </w:tbl>
    <w:p>
      <w:pPr>
        <w:pStyle w:val="Heading1"/>
      </w:pPr>
      <w:r>
        <w:t xml:space="preserve">6. Axe — Droits fondamentaux</w:t>
      </w:r>
    </w:p>
    <w:p>
      <w:pPr>
        <w:spacing w:after="120"/>
      </w:pPr>
      <w:r>
        <w:t xml:space="preserve">Mesure le respect des droits des travailleurs et des droits humains dans l’activité directe et la chaîne d’approvisionnement de l’entreprise. Couvre les conditions de travail, les droits syndicaux, le travail forcé et les droits humains en général.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800"/>
        <w:gridCol w:w="2726"/>
      </w:tblGrid>
      <w:tr>
        <w:trPr>
          <w:tblHeader/>
        </w:trPr>
        <w:tc>
          <w:tcPr>
            <w:tcW w:type="dxa" w:w="17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Catégorie</w:t>
            </w:r>
          </w:p>
        </w:tc>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Points</w:t>
            </w:r>
          </w:p>
        </w:tc>
        <w:tc>
          <w:tcPr>
            <w:tcW w:type="dxa" w:w="3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Critère (fait binaire)</w:t>
            </w:r>
          </w:p>
        </w:tc>
        <w:tc>
          <w:tcPr>
            <w:tcW w:type="dxa" w:w="27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Sources acceptées</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Condamnation pénale définitive pour travail forcé, esclavage moderne ou violation grave droits humains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Jugement pénal définitif — source judiciaire officielle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Inscription sur liste OCDE entreprises non-respectueuses droits humains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Point de contact national OCDE — décision finale publiée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Décision définitive NLRB (US) ou équivalent UE pour violations droit syndical</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NLRB.gov ou autorité nationale du travail — décision publiée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documenté HRW, Amnesty ou Clean Clothes Campaign — violation grave chaîne appro.</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HRW/Amnesty/CCC publié — daté, signé, sourcé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Condamnation devoir de vigilance (loi française ou directive CSRD) définitive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Jugement civil définitif — tribunal compétent</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en cours par autorité compétente pour violation droits fondamentaux</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Communiqué officiel autorité — enquête ouverte confirmée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OCCRP ou journalisme d’investigation sérieux sur conditions travail</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OCCRP.org, Reuters, BBC — article daté et signé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Certification B-Corp valide (score ≥ 80 volet travailleurs)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 B-Lab valide et actuel — score publié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Label Fair Trade certifié sur produits principaux ET audits tiers indépendants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Certification Fair Trade valide — organisme accrédité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Structure coopérative (SCOP/SCIC/coopérative ouvrière) — travailleurs actionnaires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Statuts publiés + registre commerce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Accord salarial au-dessus du minimum légal documenté + syndicat signataire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Accord collectif publié + syndicat représentatif signataire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de durabilité CSRD publié avec données vérifiables chaîne appro.</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CSRD publié et accessible — vérificateur indépendant nommé</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  Exemple de calcul — Triodos Bank Belgium (QID Q1068740)</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Fait 1 : Aucun financement armement/fossile/tabac — politique publiée (2024)</w:t>
            </w:r>
          </w:p>
          <w:p>
            <w:pPr>
              <w:spacing w:after="40"/>
            </w:pPr>
            <w:r>
              <w:rPr>
                <w:rFonts w:ascii="Consolas" w:cs="Consolas" w:eastAsia="Consolas" w:hAnsi="Consolas"/>
                <w:b w:val="false"/>
                <w:bCs w:val="false"/>
                <w:sz w:val="18"/>
                <w:szCs w:val="18"/>
              </w:rPr>
              <w:t xml:space="preserve">         →  weight=2 × 1.0, type=positive</w:t>
            </w:r>
          </w:p>
          <w:p>
            <w:pPr>
              <w:spacing w:after="40"/>
            </w:pPr>
            <w:r>
              <w:rPr>
                <w:rFonts w:ascii="Consolas" w:cs="Consolas" w:eastAsia="Consolas" w:hAnsi="Consolas"/>
                <w:b w:val="false"/>
                <w:bCs w:val="false"/>
                <w:sz w:val="18"/>
                <w:szCs w:val="18"/>
              </w:rPr>
              <w:t xml:space="preserve">Fait 2 : Rapport annuel 100% prêts publiés en ligne (2024)  →  weight=1 × 1.0, positive</w:t>
            </w:r>
          </w:p>
          <w:p>
            <w:pPr>
              <w:spacing w:after="40"/>
            </w:pPr>
            <w:r>
              <w:rPr>
                <w:rFonts w:ascii="Consolas" w:cs="Consolas" w:eastAsia="Consolas" w:hAnsi="Consolas"/>
                <w:b w:val="false"/>
                <w:bCs w:val="false"/>
                <w:sz w:val="18"/>
                <w:szCs w:val="18"/>
              </w:rPr>
              <w:t xml:space="preserve">Fait 3 : Aucune condamnation ou enquête droits fondamentaux  →  (rien à comptabiliser)</w:t>
            </w:r>
          </w:p>
          <w:p>
            <w:pPr>
              <w:spacing w:after="40"/>
            </w:pPr>
            <w:r>
              <w:rPr>
                <w:rFonts w:ascii="Consolas" w:cs="Consolas" w:eastAsia="Consolas" w:hAnsi="Consolas"/>
                <w:b w:val="false"/>
                <w:bCs w:val="false"/>
                <w:sz w:val="18"/>
                <w:szCs w:val="18"/>
              </w:rPr>
              <w:t xml:space="preserve">─────────────────────────────────────────────</w:t>
            </w:r>
          </w:p>
          <w:p>
            <w:pPr>
              <w:spacing w:after="40"/>
            </w:pPr>
            <w:r>
              <w:rPr>
                <w:rFonts w:ascii="Consolas" w:cs="Consolas" w:eastAsia="Consolas" w:hAnsi="Consolas"/>
                <w:b w:val="false"/>
                <w:bCs w:val="false"/>
                <w:sz w:val="18"/>
                <w:szCs w:val="18"/>
              </w:rPr>
              <w:t xml:space="preserve">Score brut axe droits = +2 + +1 = +3</w:t>
            </w:r>
          </w:p>
          <w:p>
            <w:pPr>
              <w:spacing w:after="40"/>
            </w:pPr>
            <w:r>
              <w:rPr>
                <w:rFonts w:ascii="Consolas" w:cs="Consolas" w:eastAsia="Consolas" w:hAnsi="Consolas"/>
                <w:b w:val="false"/>
                <w:bCs w:val="false"/>
                <w:sz w:val="18"/>
                <w:szCs w:val="18"/>
              </w:rPr>
              <w:t xml:space="preserve">Score final = +3</w:t>
            </w:r>
          </w:p>
        </w:tc>
      </w:tr>
    </w:tbl>
    <w:p>
      <w:pPr>
        <w:pStyle w:val="Heading1"/>
      </w:pPr>
      <w:r>
        <w:t xml:space="preserve">7. Axe — Empreinte démocratique</w:t>
      </w:r>
    </w:p>
    <w:p>
      <w:pPr>
        <w:spacing w:after="120"/>
      </w:pPr>
      <w:r>
        <w:t xml:space="preserve">Axe le plus sensible et le plus distinctif de YouFundThat. Mesure si les dirigeants ou actionnaires principaux financent activement des structures qui affaiblissent les démocraties libérales, les contre-pouvoirs ou les institutions européennes. Ne juge pas les opinions — juge les actes financiers et publics documentés.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FFF3E0" w:val="clear"/>
            <w:tcMar>
              <w:top w:type="dxa" w:w="80"/>
              <w:left w:type="dxa" w:w="120"/>
              <w:bottom w:type="dxa" w:w="80"/>
              <w:right w:type="dxa" w:w="120"/>
            </w:tcMar>
          </w:tcPr>
          <w:p>
            <w:pPr>
              <w:spacing w:after="40"/>
            </w:pPr>
            <w:r>
              <w:rPr>
                <w:b/>
                <w:bCs/>
              </w:rPr>
              <w:t xml:space="preserve">Règle de neutralité politique — OBLIGATOIRE pour cet axe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Un fait est comptabilisé sur cet axe si et seulement si il documente un ACTE (financement, déclaration, action) qui affaiblit des mécanismes démocratiques, qu’il vienne de la droite ou de la gauche.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Exemples d’actes comptabilisables : financer un parti qui supprime l’indépendance judiciaire, financer une campagne de désinformation documentée, exercer des pressions sur des médias libres.</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N’est PAS comptabilisable : soutenir un candidat démocratique légalement, avoir des opinions politiques exprimées légalement, contribuer à un PAC dans le cadre légal sans acte anti-démocratique.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3800"/>
        <w:gridCol w:w="2726"/>
      </w:tblGrid>
      <w:tr>
        <w:trPr>
          <w:tblHeader/>
        </w:trPr>
        <w:tc>
          <w:tcPr>
            <w:tcW w:type="dxa" w:w="17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Catégorie</w:t>
            </w:r>
          </w:p>
        </w:tc>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Points</w:t>
            </w:r>
          </w:p>
        </w:tc>
        <w:tc>
          <w:tcPr>
            <w:tcW w:type="dxa" w:w="3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Critère (fait binaire)</w:t>
            </w:r>
          </w:p>
        </w:tc>
        <w:tc>
          <w:tcPr>
            <w:tcW w:type="dxa" w:w="27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Sources acceptées</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Financement documenté (&gt;10M$) de mouvement ayant tenté de renverser résultat électoral</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FEC US, équivalent européen — montants déclarés + lien mouvement documenté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Financement de gouvernement ou parti ayant supprimé l’indépendance judiciaire (jugement CJUE/CEDH)</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Arrêt CJUE ou CEDH + trace de financement documentée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3</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Déclaration publique appelant au renversement d’institutions démocratiques — dirigeant principal</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Déclaration publique archivée — source primaire vérifiable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Financement documenté (1M$-10M$) d’un PAC ou organisme promouvant restriction libertés fondamentales</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FEC US ou équivalent — montant + bénéficiaire documenté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Rachat d’un média pour en faire un outil de propagande documenté (enquête indépendante)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OCCRP, Reuters ou comité de rédaction publique — fait daté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Présence dans base OpenSanctions (PEP ou sanctions) — dirigeant principal</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OpenSanctions API — résultat positif + catégorie vérifiée</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Financement documenté (&lt;1M$) de mouvements promouvant restriction libertés de presse ou manifestation</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FEC US ou équivalent — montant + bénéficiaire documenté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Négatif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journalistique sérieuse sur influence non-déclarée sur processus politique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OCCRP, Reuters, Le Monde — article daté, sourcé, signé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2</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Financement documenté d’organisations de défense de la démocratie et liberté de presse</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Déclaration publique vérifiable + montant + bénéficiaire documenté</w:t>
            </w:r>
          </w:p>
        </w:tc>
      </w:tr>
      <w:tr>
        <w:tc>
          <w:tcPr>
            <w:tcW w:type="dxa" w:w="17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Positif — Poids 1</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3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Zéro contribution politique documentée de dirigeants et actionnaires principaux</w:t>
            </w:r>
          </w:p>
        </w:tc>
        <w:tc>
          <w:tcPr>
            <w:tcW w:type="dxa" w:w="27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Recherche active FEC/équivalent — absence confirmée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  Exemple de calcul — Tesla / SpaceX — Elon Musk (QID Q478214)</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rFonts w:ascii="Consolas" w:cs="Consolas" w:eastAsia="Consolas" w:hAnsi="Consolas"/>
                <w:b w:val="false"/>
                <w:bCs w:val="false"/>
                <w:sz w:val="18"/>
                <w:szCs w:val="18"/>
              </w:rPr>
              <w:t xml:space="preserve">Fait 1 : America PAC — 270M$ pour Trump 2024 (FEC)            →  weight=2 × 1.0, negative</w:t>
            </w:r>
          </w:p>
          <w:p>
            <w:pPr>
              <w:spacing w:after="40"/>
            </w:pPr>
            <w:r>
              <w:rPr>
                <w:rFonts w:ascii="Consolas" w:cs="Consolas" w:eastAsia="Consolas" w:hAnsi="Consolas"/>
                <w:b w:val="false"/>
                <w:bCs w:val="false"/>
                <w:sz w:val="18"/>
                <w:szCs w:val="18"/>
              </w:rPr>
              <w:t xml:space="preserve">Fait 2 : Soutien public AfD/Vox/Reform UK (décl. publiques, 2025) → weight=1 × 1.0, negative</w:t>
            </w:r>
          </w:p>
          <w:p>
            <w:pPr>
              <w:spacing w:after="40"/>
            </w:pPr>
            <w:r>
              <w:rPr>
                <w:rFonts w:ascii="Consolas" w:cs="Consolas" w:eastAsia="Consolas" w:hAnsi="Consolas"/>
                <w:b w:val="false"/>
                <w:bCs w:val="false"/>
                <w:sz w:val="18"/>
                <w:szCs w:val="18"/>
              </w:rPr>
              <w:t xml:space="preserve">Fait 3 : Rachat Twitter/X — licenciement 80% modérateurs (The Verge, 2022)</w:t>
            </w:r>
          </w:p>
          <w:p>
            <w:pPr>
              <w:spacing w:after="40"/>
            </w:pPr>
            <w:r>
              <w:rPr>
                <w:rFonts w:ascii="Consolas" w:cs="Consolas" w:eastAsia="Consolas" w:hAnsi="Consolas"/>
                <w:b w:val="false"/>
                <w:bCs w:val="false"/>
                <w:sz w:val="18"/>
                <w:szCs w:val="18"/>
              </w:rPr>
              <w:t xml:space="preserve">         →  weight=2 × 1.0, negative</w:t>
            </w:r>
          </w:p>
          <w:p>
            <w:pPr>
              <w:spacing w:after="40"/>
            </w:pPr>
            <w:r>
              <w:rPr>
                <w:rFonts w:ascii="Consolas" w:cs="Consolas" w:eastAsia="Consolas" w:hAnsi="Consolas"/>
                <w:b w:val="false"/>
                <w:bCs w:val="false"/>
                <w:sz w:val="18"/>
                <w:szCs w:val="18"/>
              </w:rPr>
              <w:t xml:space="preserve">─────────────────────────────────────────────</w:t>
            </w:r>
          </w:p>
          <w:p>
            <w:pPr>
              <w:spacing w:after="40"/>
            </w:pPr>
            <w:r>
              <w:rPr>
                <w:rFonts w:ascii="Consolas" w:cs="Consolas" w:eastAsia="Consolas" w:hAnsi="Consolas"/>
                <w:b w:val="false"/>
                <w:bCs w:val="false"/>
                <w:sz w:val="18"/>
                <w:szCs w:val="18"/>
              </w:rPr>
              <w:t xml:space="preserve">Score brut axe démocratie = -2 + -1 + -2 = -5</w:t>
            </w:r>
          </w:p>
          <w:p>
            <w:pPr>
              <w:spacing w:after="40"/>
            </w:pPr>
            <w:r>
              <w:rPr>
                <w:rFonts w:ascii="Consolas" w:cs="Consolas" w:eastAsia="Consolas" w:hAnsi="Consolas"/>
                <w:b w:val="false"/>
                <w:bCs w:val="false"/>
                <w:sz w:val="18"/>
                <w:szCs w:val="18"/>
              </w:rPr>
              <w:t xml:space="preserve">Score final = -5</w:t>
            </w:r>
          </w:p>
        </w:tc>
      </w:tr>
    </w:tbl>
    <w:p>
      <w:pPr>
        <w:pStyle w:val="Heading1"/>
      </w:pPr>
      <w:r>
        <w:t xml:space="preserve">8. Calcul du score global et labels</w:t>
      </w:r>
    </w:p>
    <w:p>
      <w:pPr>
        <w:pStyle w:val="Heading2"/>
      </w:pPr>
      <w:r>
        <w:t xml:space="preserve">8.1 Score global</w:t>
      </w:r>
    </w:p>
    <w:p>
      <w:pPr>
        <w:spacing w:after="120"/>
      </w:pPr>
      <w:r>
        <w:t xml:space="preserve">Le score global est la moyenne arithmétique non-pondérée des 5 axes. Les 5 axes ont le même poids — aucun ne prime sur les autres. Un axe sans fait vérifié vaut 0 dans la moyenne.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F2F2F2" w:val="clear"/>
            <w:tcMar>
              <w:top w:type="dxa" w:w="80"/>
              <w:left w:type="dxa" w:w="120"/>
              <w:bottom w:type="dxa" w:w="80"/>
              <w:right w:type="dxa" w:w="120"/>
            </w:tcMar>
          </w:tcPr>
          <w:p>
            <w:pPr>
              <w:spacing w:after="20"/>
            </w:pPr>
            <w:r>
              <w:rPr>
                <w:rFonts w:ascii="Consolas" w:cs="Consolas" w:eastAsia="Consolas" w:hAnsi="Consolas"/>
                <w:sz w:val="18"/>
                <w:szCs w:val="18"/>
              </w:rPr>
              <w:t xml:space="preserve">score_global = ROUND(</w:t>
            </w:r>
          </w:p>
          <w:p>
            <w:pPr>
              <w:spacing w:after="20"/>
            </w:pPr>
            <w:r>
              <w:rPr>
                <w:rFonts w:ascii="Consolas" w:cs="Consolas" w:eastAsia="Consolas" w:hAnsi="Consolas"/>
                <w:sz w:val="18"/>
                <w:szCs w:val="18"/>
              </w:rPr>
              <w:t xml:space="preserve">  (score_fiscal + score_lobbying + score_data + score_labor + score_democracy) / 5.0</w:t>
            </w:r>
          </w:p>
          <w:p>
            <w:pPr>
              <w:spacing w:after="20"/>
            </w:pPr>
            <w:r>
              <w:rPr>
                <w:rFonts w:ascii="Consolas" w:cs="Consolas" w:eastAsia="Consolas" w:hAnsi="Consolas"/>
                <w:sz w:val="18"/>
                <w:szCs w:val="18"/>
              </w:rPr>
              <w:t xml:space="preserve">, 1)</w:t>
            </w:r>
          </w:p>
        </w:tc>
      </w:tr>
    </w:tbl>
    <w:p>
      <w:pPr>
        <w:spacing w:after="120"/>
      </w:pPr>
    </w:p>
    <w:p>
      <w:pPr>
        <w:pStyle w:val="Heading2"/>
      </w:pPr>
      <w:r>
        <w:t xml:space="preserve">8.2 Labels de score</w:t>
      </w:r>
    </w:p>
    <w:p>
      <w:pPr>
        <w:spacing w:after="120"/>
      </w:pPr>
      <w:r>
        <w:rPr>
          <w:b/>
          <w:bCs/>
          <w:color w:val="1F4E79"/>
        </w:rPr>
        <w:t xml:space="preserve">Bornes explicitées en V1.1 : </w:t>
      </w:r>
      <w:r>
        <w:t xml:space="preserve">en cas d’ambiguïté, YouFundThat retient systématiquement l’interprétation la moins défavorable à l’entreprise notée. Les scores sont affichés à une décimale, sans arrondi à l’entier (la décote produit des demi-points).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Label</w:t>
            </w:r>
          </w:p>
        </w:tc>
        <w:tc>
          <w:tcPr>
            <w:tcW w:type="dxa" w:w="24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Score global</w:t>
            </w:r>
          </w:p>
        </w:tc>
        <w:tc>
          <w:tcPr>
            <w:tcW w:type="dxa" w:w="42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Signification affichée à l’utilisateur</w:t>
            </w:r>
          </w:p>
        </w:tc>
      </w:tr>
      <w:tr>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Aligné</w:t>
            </w:r>
          </w:p>
        </w:tc>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&gt; +5,0</w:t>
            </w:r>
          </w:p>
        </w:tc>
        <w:tc>
          <w:tcPr>
            <w:tcW w:type="dxa" w:w="42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Entreprise globalement cohérente avec la boussole YouFundThat</w:t>
            </w:r>
          </w:p>
        </w:tc>
      </w:tr>
      <w:tr>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Mitigé</w:t>
            </w:r>
          </w:p>
        </w:tc>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-2,0 ≤ score ≤ +5,0</w:t>
            </w:r>
          </w:p>
        </w:tc>
        <w:tc>
          <w:tcPr>
            <w:tcW w:type="dxa" w:w="42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Points positifs et négatifs — explorer les alternatives recommandées</w:t>
            </w:r>
          </w:p>
        </w:tc>
      </w:tr>
      <w:tr>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Problématique</w:t>
            </w:r>
          </w:p>
        </w:tc>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-6,0 ≤ score &lt; -2,0</w:t>
            </w:r>
          </w:p>
        </w:tc>
        <w:tc>
          <w:tcPr>
            <w:tcW w:type="dxa" w:w="42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Plusieurs axes en conflit avec la boussole — alternatives fortement recommandées</w:t>
            </w:r>
          </w:p>
        </w:tc>
      </w:tr>
      <w:tr>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Critique</w:t>
            </w:r>
          </w:p>
        </w:tc>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&lt; -6,0</w:t>
            </w:r>
          </w:p>
        </w:tc>
        <w:tc>
          <w:tcPr>
            <w:tcW w:type="dxa" w:w="42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Conflit majeur documenté avec les valeurs démocratiques européennes</w:t>
            </w:r>
          </w:p>
        </w:tc>
      </w:tr>
      <w:tr>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Données insuffisantes</w:t>
            </w:r>
          </w:p>
        </w:tc>
        <w:tc>
          <w:tcPr>
            <w:tcW w:type="dxa" w:w="24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aucun fait vérifié</w:t>
            </w:r>
          </w:p>
        </w:tc>
        <w:tc>
          <w:tcPr>
            <w:tcW w:type="dxa" w:w="42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Pas assez de preuves publiques pour calculer un score — un score absent n’est pas un score positif</w:t>
            </w:r>
          </w:p>
        </w:tc>
      </w:tr>
    </w:tbl>
    <w:p>
      <w:pPr>
        <w:spacing w:after="120"/>
      </w:pPr>
    </w:p>
    <w:p>
      <w:pPr>
        <w:pStyle w:val="Heading2"/>
      </w:pPr>
      <w:r>
        <w:t xml:space="preserve">8.3 Règle de transparence obligatoire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Chaque score affiché doit être accompagné de :</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Le nombre de faits positifs et négatifs comptabilisés par axe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Un lien vers au moins 1 fait sourcé par axe ayant un score non-nul</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La date du dernier recalcul (last_reviewed_at)</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Un bouton « Contester ce score » (mailto: en V1, formulaire en V2)</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 La mention : « Score calculé sur base de faits publics vérifiables — méthodologie complète sur /boussole »</w:t>
            </w:r>
          </w:p>
        </w:tc>
      </w:tr>
    </w:tbl>
    <w:p>
      <w:pPr>
        <w:pStyle w:val="Heading1"/>
      </w:pPr>
      <w:r>
        <w:t xml:space="preserve">9. Exemple de scoring complet — Amazon.be</w:t>
      </w:r>
    </w:p>
    <w:p>
      <w:pPr>
        <w:spacing w:after="120"/>
      </w:pPr>
      <w:r>
        <w:t xml:space="preserve">Illustration de la méthodologie sur une entreprise complète. Tous les faits sont réels et vérifiables. Recalculé en V1.1 avec la décote temporelle (date de référence : juin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800"/>
        <w:gridCol w:w="900"/>
        <w:gridCol w:w="5026"/>
      </w:tblGrid>
      <w:tr>
        <w:trPr>
          <w:tblHeader/>
        </w:trPr>
        <w:tc>
          <w:tcPr>
            <w:tcW w:type="dxa" w:w="15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Axe</w:t>
            </w:r>
          </w:p>
        </w:tc>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Type</w:t>
            </w:r>
          </w:p>
        </w:tc>
        <w:tc>
          <w:tcPr>
            <w:tcW w:type="dxa" w:w="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Poids</w:t>
            </w:r>
          </w:p>
        </w:tc>
        <w:tc>
          <w:tcPr>
            <w:tcW w:type="dxa" w:w="9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Pts eff.</w:t>
            </w:r>
          </w:p>
        </w:tc>
        <w:tc>
          <w:tcPr>
            <w:tcW w:type="dxa" w:w="5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Fait documenté + source</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Fiscal</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3 × 0,5</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-1,5</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CJUE : 250M€ avantages fiscaux illégaux Luxembourg (2017, définitif — 9 ans, décote)</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Fiscal</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 × 0,5</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Taux effectif ~1% sur profits UE (décision CE 2017 — 9 ans, décote)</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Lobbying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Dépenses lobbying UE : 4,2M€/an (LobbyFacts 2024)</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Lobbying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InfluenceMap D (lobbymap.org 2025)</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Données</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Infrastructure principale hors UE (US) — données citoyens européens</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Données</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Enquête RGPD APD belge en cours (2024) — enquête ouverte confirmée</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Droits</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Rapport conditions entrepôts (Reuters 2023) — enquête signée</w:t>
            </w:r>
          </w:p>
        </w:tc>
      </w:tr>
      <w:tr>
        <w:tc>
          <w:tcPr>
            <w:tcW w:type="dxa" w:w="15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Démocratie</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neg</w:t>
            </w:r>
          </w:p>
        </w:tc>
        <w:tc>
          <w:tcPr>
            <w:tcW w:type="dxa" w:w="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5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Dons PAC mixtes US (FEC) — absence d’engagement anti-démocratique direct</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626"/>
      </w:tblGrid>
      <w:tr>
        <w:trPr>
          <w:tblHeader/>
        </w:trPr>
        <w:tc>
          <w:tcPr>
            <w:tcW w:type="dxa" w:w="32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Axe</w:t>
            </w:r>
          </w:p>
        </w:tc>
        <w:tc>
          <w:tcPr>
            <w:tcW w:type="dxa" w:w="22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Score final</w:t>
            </w:r>
          </w:p>
        </w:tc>
        <w:tc>
          <w:tcPr>
            <w:tcW w:type="dxa" w:w="36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Calcul</w:t>
            </w:r>
          </w:p>
        </w:tc>
      </w:tr>
      <w:tr>
        <w:tc>
          <w:tcPr>
            <w:tcW w:type="dxa" w:w="3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Transparence fiscale</w:t>
            </w:r>
          </w:p>
        </w:tc>
        <w:tc>
          <w:tcPr>
            <w:tcW w:type="dxa" w:w="2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−2,5</w:t>
            </w:r>
          </w:p>
        </w:tc>
        <w:tc>
          <w:tcPr>
            <w:tcW w:type="dxa" w:w="3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−1,5 + −1 = −2,5</w:t>
            </w:r>
          </w:p>
        </w:tc>
      </w:tr>
      <w:tr>
        <w:tc>
          <w:tcPr>
            <w:tcW w:type="dxa" w:w="3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Lobbying UE</w:t>
            </w:r>
          </w:p>
        </w:tc>
        <w:tc>
          <w:tcPr>
            <w:tcW w:type="dxa" w:w="2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−3</w:t>
            </w:r>
          </w:p>
        </w:tc>
        <w:tc>
          <w:tcPr>
            <w:tcW w:type="dxa" w:w="3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 + −1 = −3</w:t>
            </w:r>
          </w:p>
        </w:tc>
      </w:tr>
      <w:tr>
        <w:tc>
          <w:tcPr>
            <w:tcW w:type="dxa" w:w="3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Souveraineté données</w:t>
            </w:r>
          </w:p>
        </w:tc>
        <w:tc>
          <w:tcPr>
            <w:tcW w:type="dxa" w:w="2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−3</w:t>
            </w:r>
          </w:p>
        </w:tc>
        <w:tc>
          <w:tcPr>
            <w:tcW w:type="dxa" w:w="3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−2 + −1 = −3</w:t>
            </w:r>
          </w:p>
        </w:tc>
      </w:tr>
      <w:tr>
        <w:tc>
          <w:tcPr>
            <w:tcW w:type="dxa" w:w="3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Droits fondamentaux</w:t>
            </w:r>
          </w:p>
        </w:tc>
        <w:tc>
          <w:tcPr>
            <w:tcW w:type="dxa" w:w="2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3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 = −1</w:t>
            </w:r>
          </w:p>
        </w:tc>
      </w:tr>
      <w:tr>
        <w:tc>
          <w:tcPr>
            <w:tcW w:type="dxa" w:w="3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Empreinte démocratique</w:t>
            </w:r>
          </w:p>
        </w:tc>
        <w:tc>
          <w:tcPr>
            <w:tcW w:type="dxa" w:w="2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w:t>
            </w:r>
          </w:p>
        </w:tc>
        <w:tc>
          <w:tcPr>
            <w:tcW w:type="dxa" w:w="3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−1 = −1</w:t>
            </w:r>
          </w:p>
        </w:tc>
      </w:tr>
      <w:tr>
        <w:tc>
          <w:tcPr>
            <w:tcW w:type="dxa" w:w="3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bCs/>
              </w:rPr>
              <w:t xml:space="preserve">SCORE GLOBAL</w:t>
            </w:r>
          </w:p>
        </w:tc>
        <w:tc>
          <w:tcPr>
            <w:tcW w:type="dxa" w:w="22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bCs/>
              </w:rPr>
              <w:t xml:space="preserve">−2,1</w:t>
            </w:r>
          </w:p>
        </w:tc>
        <w:tc>
          <w:tcPr>
            <w:tcW w:type="dxa" w:w="36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bCs/>
              </w:rPr>
              <w:t xml:space="preserve">(−2,5−3−3−1−1) / 5 = −10,5/5 = −2,1  →  Label : 🟠 Problématique</w:t>
            </w:r>
          </w:p>
        </w:tc>
      </w:tr>
    </w:tbl>
    <w:p>
      <w:pPr>
        <w:pStyle w:val="Heading1"/>
      </w:pPr>
      <w:r>
        <w:t xml:space="preserve">10. Processus éditorial de validation</w:t>
      </w:r>
    </w:p>
    <w:p>
      <w:pPr>
        <w:pStyle w:val="Heading2"/>
      </w:pPr>
      <w:r>
        <w:t xml:space="preserve">10.1 Workflow d’ajout d’un fait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326"/>
      </w:tblGrid>
      <w:tr>
        <w:trPr>
          <w:tblHeader/>
        </w:trPr>
        <w:tc>
          <w:tcPr>
            <w:tcW w:type="dxa" w:w="9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Étape</w:t>
            </w:r>
          </w:p>
        </w:tc>
        <w:tc>
          <w:tcPr>
            <w:tcW w:type="dxa" w:w="2800"/>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Responsable</w:t>
            </w:r>
          </w:p>
        </w:tc>
        <w:tc>
          <w:tcPr>
            <w:tcW w:type="dxa" w:w="53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Action</w:t>
            </w:r>
          </w:p>
        </w:tc>
      </w:tr>
      <w:tr>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1</w:t>
            </w:r>
          </w:p>
        </w:tc>
        <w:tc>
          <w:tcPr>
            <w:tcW w:type="dxa" w:w="2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N’importe qui</w:t>
            </w:r>
          </w:p>
        </w:tc>
        <w:tc>
          <w:tcPr>
            <w:tcW w:type="dxa" w:w="53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Signalement via bouton « Proposer un fait » (V2) ou via équipe éditoriale (V1)</w:t>
            </w:r>
          </w:p>
        </w:tc>
      </w:tr>
      <w:tr>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2</w:t>
            </w:r>
          </w:p>
        </w:tc>
        <w:tc>
          <w:tcPr>
            <w:tcW w:type="dxa" w:w="2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Éditeur</w:t>
            </w:r>
          </w:p>
        </w:tc>
        <w:tc>
          <w:tcPr>
            <w:tcW w:type="dxa" w:w="53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Vérification de la source primaire — URL accessible et pérenne</w:t>
            </w:r>
          </w:p>
        </w:tc>
      </w:tr>
      <w:tr>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3</w:t>
            </w:r>
          </w:p>
        </w:tc>
        <w:tc>
          <w:tcPr>
            <w:tcW w:type="dxa" w:w="2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Éditeur</w:t>
            </w:r>
          </w:p>
        </w:tc>
        <w:tc>
          <w:tcPr>
            <w:tcW w:type="dxa" w:w="53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Détermination de l’axe, du type (positive/negative) et du weight selon les règles section 2.3</w:t>
            </w:r>
          </w:p>
        </w:tc>
      </w:tr>
      <w:tr>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4</w:t>
            </w:r>
          </w:p>
        </w:tc>
        <w:tc>
          <w:tcPr>
            <w:tcW w:type="dxa" w:w="2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Éditeur</w:t>
            </w:r>
          </w:p>
        </w:tc>
        <w:tc>
          <w:tcPr>
            <w:tcW w:type="dxa" w:w="53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Saisie dans la table facts avec verified=false</w:t>
            </w:r>
          </w:p>
        </w:tc>
      </w:tr>
      <w:tr>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5</w:t>
            </w:r>
          </w:p>
        </w:tc>
        <w:tc>
          <w:tcPr>
            <w:tcW w:type="dxa" w:w="2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Second éditeur (ou fondateur)</w:t>
            </w:r>
          </w:p>
        </w:tc>
        <w:tc>
          <w:tcPr>
            <w:tcW w:type="dxa" w:w="53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Relecture et validation — passage à verified=true. Le validateur doit être différent du proposeur — imposé techniquement par la base de données (V1.1)</w:t>
            </w:r>
          </w:p>
        </w:tc>
      </w:tr>
      <w:tr>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6</w:t>
            </w:r>
          </w:p>
        </w:tc>
        <w:tc>
          <w:tcPr>
            <w:tcW w:type="dxa" w:w="2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Système automatique</w:t>
            </w:r>
          </w:p>
        </w:tc>
        <w:tc>
          <w:tcPr>
            <w:tcW w:type="dxa" w:w="53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Recalcul du score — mise à jour de last_reviewed_at</w:t>
            </w:r>
          </w:p>
        </w:tc>
      </w:tr>
      <w:tr>
        <w:tc>
          <w:tcPr>
            <w:tcW w:type="dxa" w:w="9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jc w:val="center"/>
            </w:pPr>
            <w:r>
              <w:rPr>
                <w:b w:val="false"/>
                <w:bCs w:val="false"/>
              </w:rPr>
              <w:t xml:space="preserve">7</w:t>
            </w:r>
          </w:p>
        </w:tc>
        <w:tc>
          <w:tcPr>
            <w:tcW w:type="dxa" w:w="2800"/>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Système</w:t>
            </w:r>
          </w:p>
        </w:tc>
        <w:tc>
          <w:tcPr>
            <w:tcW w:type="dxa" w:w="53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Publication immédiate sur la fiche entreprise</w:t>
            </w:r>
          </w:p>
        </w:tc>
      </w:tr>
    </w:tbl>
    <w:p>
      <w:pPr>
        <w:spacing w:after="120"/>
      </w:pPr>
    </w:p>
    <w:p>
      <w:pPr>
        <w:pStyle w:val="Heading2"/>
      </w:pPr>
      <w:r>
        <w:t xml:space="preserve">10.2 Processus de contestation</w:t>
      </w:r>
    </w:p>
    <w:p>
      <w:pPr>
        <w:spacing w:after="120"/>
      </w:pPr>
      <w:r>
        <w:t xml:space="preserve">Tout utilisateur peut contester un score via le bouton « Contester » sur chaque fiche. La contestation doit fournir une source primaire alternative ou contradictoire. L’équipe éditoriale examine la contestation dans les 10 jours ouvrables. Si la contestation est fondée : le fait est modifié ou supprimé, le score est recalculé. Si la contestation n’est pas fondée : réponse motivée publiée dans l’historique du fait. Toutes les contestations et leurs résolutions sont archivées et publiques. Depuis la V1.1, chaque ajout, modification, validation ou suppression de fait est en outre tracé dans un journal d’audit public et immuable — y compris pour l’équipe éditoriale.</w:t>
      </w:r>
    </w:p>
    <w:p>
      <w:pPr>
        <w:pStyle w:val="Heading2"/>
      </w:pPr>
      <w:r>
        <w:t xml:space="preserve">10.3 Révision périodique</w:t>
      </w:r>
    </w:p>
    <w:p>
      <w:pPr>
        <w:spacing w:after="120"/>
      </w:pPr>
      <w:r>
        <w:t xml:space="preserve">Révision complète de tous les faits datant de plus de 12 mois — une fois par an. Mise à jour automatique des décotes temporelles — trimestrielle (cron job Supabase). Alerte automatique si une source primaire devient inaccessible (lien mort) — mensuelle. Révision des alternatives éditoriales — semestrielle.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Cas particulier — Entreprise qui conteste son score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Une entreprise peut demander une révision de son score en fournissant des sources primaires.</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La demande est traitée comme une contestation standard — avec la même rigueur.</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Si l’entreprise fournit une preuve contraire valide, le score est corrigé.</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La demande et la décision sont rendues publiques — YouFundThat ne corrige pas un score suite à une pression non-documentée.</w:t>
            </w:r>
          </w:p>
        </w:tc>
      </w:tr>
    </w:tbl>
    <w:p>
      <w:pPr>
        <w:pStyle w:val="Heading1"/>
      </w:pPr>
      <w:r>
        <w:t xml:space="preserve">11. Limites et biais assumés</w:t>
      </w:r>
    </w:p>
    <w:p>
      <w:pPr>
        <w:spacing w:after="120"/>
      </w:pPr>
      <w:r>
        <w:t xml:space="preserve">La transparence sur les limites de la méthodologie est aussi importante que la méthodologie elle-même.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Limite</w:t>
            </w:r>
          </w:p>
        </w:tc>
        <w:tc>
          <w:tcPr>
            <w:tcW w:type="dxa" w:w="4513"/>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Comment elle est adressée</w:t>
            </w:r>
          </w:p>
        </w:tc>
      </w:tr>
      <w:tr>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Biais de disponibilité des sources : les grandes entreprises cotées ont plus de données publiques que les PME → leurs scores sont souvent plus négatifs</w:t>
            </w:r>
          </w:p>
        </w:tc>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Mention explicite du niveau de couverture (data_quality 1-5) sur chaque fiche. Les entreprises peu documentées sont signalées comme telles.</w:t>
            </w:r>
          </w:p>
        </w:tc>
      </w:tr>
      <w:tr>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Biais géographique : sources US (FEC, NLRB) plus riches que sources BE/EU → avantage apparent aux entreprises européennes</w:t>
            </w:r>
          </w:p>
        </w:tc>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Les sources européennes (EU Transparency Register, APD, CJUE) sont systématiquement priorisées. Le biais est documenté.</w:t>
            </w:r>
          </w:p>
        </w:tc>
      </w:tr>
      <w:tr>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Décalage temporel : la base est mise à jour manuellement → des faits récents peuvent manquer temporairement</w:t>
            </w:r>
          </w:p>
        </w:tc>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Date de dernière révision affichée sur chaque fiche. Bouton « Signaler un fait manquant ».</w:t>
            </w:r>
          </w:p>
        </w:tc>
      </w:tr>
      <w:tr>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Score absent ≠ score positif : une entreprise sans données n’a pas de score +10</w:t>
            </w:r>
          </w:p>
        </w:tc>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Label dédié « ⚪ Données insuffisantes » (V1.1) — clairement distinct d’un score de 0.</w:t>
            </w:r>
          </w:p>
        </w:tc>
      </w:tr>
      <w:tr>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Axe démocratie subjectif malgré les règles : la frontière entre « contribution légale » et « financement anti-démocratie » est parfois floue</w:t>
            </w:r>
          </w:p>
        </w:tc>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Règle stricte de comptabilisation (section 7) + double validation éditoriale imposée par la base + contestation publique.</w:t>
            </w:r>
          </w:p>
        </w:tc>
      </w:tr>
      <w:tr>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Décote mécanique : un fait ancien qui perdure décote alors que rien n’a changé</w:t>
            </w:r>
          </w:p>
        </w:tc>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Assumé (Principe 1 : zéro appréciation subjective). Le fait qui perdure doit être re-documenté par une source récente — nouveau fait à poids plein.</w:t>
            </w:r>
          </w:p>
        </w:tc>
      </w:tr>
      <w:tr>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Entreprises sans présence numérique : certaines entreprises belges ont peu de données accessibles en ligne</w:t>
            </w:r>
          </w:p>
        </w:tc>
        <w:tc>
          <w:tcPr>
            <w:tcW w:type="dxa" w:w="4513"/>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Signalées data_quality=1. Invitation à contribuer des sources.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8C7D9" w:sz="1"/>
              <w:left w:val="single" w:color="B8C7D9" w:sz="1"/>
              <w:bottom w:val="single" w:color="B8C7D9" w:sz="1"/>
              <w:right w:val="single" w:color="B8C7D9" w:sz="1"/>
            </w:tcBorders>
            <w:shd w:fill="D9E6F2" w:val="clear"/>
            <w:tcMar>
              <w:top w:type="dxa" w:w="80"/>
              <w:left w:type="dxa" w:w="120"/>
              <w:bottom w:type="dxa" w:w="80"/>
              <w:right w:type="dxa" w:w="120"/>
            </w:tcMar>
          </w:tcPr>
          <w:p>
            <w:pPr>
              <w:spacing w:after="40"/>
            </w:pPr>
            <w:r>
              <w:rPr>
                <w:b/>
                <w:bCs/>
              </w:rPr>
              <w:t xml:space="preserve">Document finalisé — Méthodologie de Scoring YouFundThat V1.1</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Cette méthodologie est publique, permanente sur youfundthat.eu/boussole.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Toute modification fait l’objet d’une nouvelle version numérotée avec changelog.</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V1.1 (juin 2026) : unification de la décote temporelle, bornes de labels explicites, label « Données insuffisantes », double validation technique, journal d’audit public — changelog complet sur /boussole.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Les désaccords se résolvent par les sources — pas par l’autorité éditoriale.</w:t>
            </w:r>
          </w:p>
        </w:tc>
      </w:tr>
      <w:tr>
        <w:tc>
          <w:tcPr>
            <w:tcW w:type="dxa" w:w="9026"/>
            <w:tcBorders>
              <w:top w:val="single" w:color="B8C7D9" w:sz="1"/>
              <w:left w:val="single" w:color="B8C7D9" w:sz="1"/>
              <w:bottom w:val="single" w:color="B8C7D9" w:sz="1"/>
              <w:right w:val="single" w:color="B8C7D9" w:sz="1"/>
            </w:tcBorders>
            <w:tcMar>
              <w:top w:type="dxa" w:w="80"/>
              <w:left w:type="dxa" w:w="120"/>
              <w:bottom w:type="dxa" w:w="80"/>
              <w:right w:type="dxa" w:w="120"/>
            </w:tcMar>
          </w:tcPr>
          <w:p>
            <w:pPr>
              <w:spacing w:after="40"/>
            </w:pPr>
            <w:r>
              <w:rPr>
                <w:b w:val="false"/>
                <w:bCs w:val="false"/>
              </w:rPr>
              <w:t xml:space="preserve">youfundthat.eu │ Initiative citoyenne belge sans but lucratif │ Juin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666666"/>
        <w:sz w:val="16"/>
        <w:szCs w:val="16"/>
      </w:rPr>
      <w:t xml:space="preserve">youfundthat.eu  |  Méthodologie publique et auditable</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pPr>
    <w:r>
      <w:rPr>
        <w:color w:val="666666"/>
        <w:sz w:val="16"/>
        <w:szCs w:val="16"/>
      </w:rPr>
      <w:t xml:space="preserve">YouFundThat — Méthodologie de Scoring — V1.1</w:t>
    </w:r>
    <w:r>
      <w:rPr>
        <w:b/>
        <w:bCs/>
        <w:color w:val="1F4E79"/>
        <w:sz w:val="16"/>
        <w:szCs w:val="16"/>
      </w:rPr>
      <w:t xml:space="preserve">	PUBLIC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B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2026-06-10T19:11:04.534Z</dcterms:created>
  <dcterms:modified xsi:type="dcterms:W3CDTF">2026-06-10T19:11:04.534Z</dcterms:modified>
</cp:coreProperties>
</file>

<file path=docProps/custom.xml><?xml version="1.0" encoding="utf-8"?>
<Properties xmlns="http://schemas.openxmlformats.org/officeDocument/2006/custom-properties" xmlns:vt="http://schemas.openxmlformats.org/officeDocument/2006/docPropsVTypes"/>
</file>