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60"/>
        <w:jc w:val="center"/>
      </w:pPr>
      <w:r>
        <w:rPr>
          <w:rFonts w:ascii="Aptos" w:hAnsi="Aptos"/>
          <w:b/>
          <w:i w:val="0"/>
          <w:color w:val="118A8A"/>
          <w:sz w:val="18"/>
        </w:rPr>
        <w:t>PRODUCT QUALITY REVIEW</w:t>
      </w:r>
    </w:p>
    <w:p>
      <w:pPr>
        <w:spacing w:after="160"/>
        <w:jc w:val="center"/>
      </w:pPr>
      <w:r>
        <w:rPr>
          <w:rFonts w:ascii="Aptos" w:hAnsi="Aptos"/>
          <w:b/>
          <w:i w:val="0"/>
          <w:color w:val="17324D"/>
          <w:sz w:val="54"/>
        </w:rPr>
        <w:t>StyleShift AI Doctor</w:t>
        <w:br/>
        <w:t>and Live Roleplay</w:t>
      </w:r>
    </w:p>
    <w:p>
      <w:pPr>
        <w:spacing w:after="600"/>
        <w:jc w:val="center"/>
      </w:pPr>
      <w:r>
        <w:rPr>
          <w:rFonts w:ascii="Aptos" w:hAnsi="Aptos"/>
          <w:b w:val="0"/>
          <w:i w:val="0"/>
          <w:color w:val="2E74B5"/>
          <w:sz w:val="26"/>
        </w:rPr>
        <w:t>Features, quality, measurements and development priorities</w:t>
      </w:r>
    </w:p>
    <w:tbl>
      <w:tblPr>
        <w:tblW w:type="auto" w:w="0"/>
        <w:jc w:val="left"/>
        <w:tblLayout w:type="fixed"/>
        <w:tblLook w:firstColumn="1" w:firstRow="1" w:lastColumn="0" w:lastRow="0" w:noHBand="0" w:noVBand="1" w:val="04A0"/>
      </w:tblPr>
      <w:tblGrid>
        <w:gridCol w:w="9360"/>
      </w:tblGrid>
      <w:tr>
        <w:tc>
          <w:tcPr>
            <w:tcW w:type="dxa" w:w="9360"/>
            <w:shd w:fill="E8F4EF"/>
          </w:tcPr>
          <w:p>
            <w:pPr>
              <w:spacing w:after="60"/>
            </w:pPr>
            <w:r>
              <w:rPr>
                <w:rFonts w:ascii="Aptos" w:hAnsi="Aptos"/>
                <w:b/>
                <w:i w:val="0"/>
                <w:color w:val="1F7A5A"/>
                <w:sz w:val="18"/>
              </w:rPr>
              <w:t>DECISION SIGNAL</w:t>
            </w:r>
          </w:p>
          <w:p>
            <w:pPr>
              <w:spacing w:after="60"/>
            </w:pPr>
            <w:r>
              <w:rPr>
                <w:rFonts w:ascii="Aptos" w:hAnsi="Aptos"/>
                <w:b/>
                <w:i w:val="0"/>
                <w:color w:val="17324D"/>
                <w:sz w:val="22"/>
              </w:rPr>
              <w:t>StyleShift has a strong measurement foundation. The highest-risk gaps are Iraqi Arabic voice validation, realtime UI integration, and connecting Pipecat turns to the existing StyleShift scoring system.</w:t>
            </w:r>
          </w:p>
        </w:tc>
      </w:tr>
    </w:tbl>
    <w:p>
      <w:pPr>
        <w:spacing w:after="0"/>
      </w:pPr>
    </w:p>
    <w:p>
      <w:pPr>
        <w:spacing w:before="480"/>
        <w:jc w:val="center"/>
      </w:pPr>
      <w:r>
        <w:rPr>
          <w:rFonts w:ascii="Aptos" w:hAnsi="Aptos"/>
          <w:b w:val="0"/>
          <w:i/>
          <w:color w:val="64748B"/>
          <w:sz w:val="19"/>
        </w:rPr>
        <w:t>Prepared from repository inspection, automated tests and deployment documentation</w:t>
        <w:br/>
        <w:t>September 16, 2026</w:t>
      </w:r>
    </w:p>
    <w:p>
      <w:r>
        <w:br w:type="page"/>
      </w:r>
    </w:p>
    <w:p>
      <w:pPr>
        <w:pStyle w:val="Heading1"/>
        <w:keepNext/>
      </w:pPr>
      <w:r>
        <w:rPr>
          <w:rFonts w:ascii="Aptos" w:hAnsi="Aptos"/>
          <w:b/>
          <w:i w:val="0"/>
          <w:color w:val="2E74B5"/>
          <w:sz w:val="32"/>
        </w:rPr>
        <w:t>Executive assessment</w:t>
      </w:r>
    </w:p>
    <w:p>
      <w:pPr>
        <w:spacing w:after="120" w:line="264" w:lineRule="auto"/>
      </w:pPr>
      <w:r>
        <w:rPr>
          <w:rFonts w:ascii="Aptos" w:hAnsi="Aptos"/>
          <w:b w:val="0"/>
          <w:i w:val="0"/>
          <w:color w:val="1F2937"/>
          <w:sz w:val="21"/>
        </w:rPr>
        <w:t>The existing AI Doctor is a personalized, turn-based simulation. It combines doctor context, objection behavior, physician state and post-session analysis. The human live roleplay path is a stronger measurement system because it captures acoustic and turn-taking signals. The new Pipecat package is a promising realtime transport layer, but it is not yet the complete StyleShift experience: its continuous conversation is not fully wired into the existing UI and scorecard pipeline.</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2232"/>
            <w:shd w:fill="17324D"/>
            <w:vAlign w:val="center"/>
          </w:tcPr>
          <w:p>
            <w:pPr>
              <w:spacing w:after="0"/>
              <w:jc w:val="left"/>
            </w:pPr>
            <w:r>
              <w:rPr>
                <w:rFonts w:ascii="Aptos" w:hAnsi="Aptos"/>
                <w:b/>
                <w:i w:val="0"/>
                <w:color w:val="FFFFFF"/>
                <w:sz w:val="18"/>
              </w:rPr>
              <w:t>System</w:t>
            </w:r>
          </w:p>
        </w:tc>
        <w:tc>
          <w:tcPr>
            <w:tcW w:type="dxa" w:w="1584"/>
            <w:shd w:fill="17324D"/>
            <w:vAlign w:val="center"/>
          </w:tcPr>
          <w:p>
            <w:pPr>
              <w:spacing w:after="0"/>
              <w:jc w:val="left"/>
            </w:pPr>
            <w:r>
              <w:rPr>
                <w:rFonts w:ascii="Aptos" w:hAnsi="Aptos"/>
                <w:b/>
                <w:i w:val="0"/>
                <w:color w:val="FFFFFF"/>
                <w:sz w:val="18"/>
              </w:rPr>
              <w:t>Overall quality</w:t>
            </w:r>
          </w:p>
        </w:tc>
        <w:tc>
          <w:tcPr>
            <w:tcW w:type="dxa" w:w="1584"/>
            <w:shd w:fill="17324D"/>
            <w:vAlign w:val="center"/>
          </w:tcPr>
          <w:p>
            <w:pPr>
              <w:spacing w:after="0"/>
              <w:jc w:val="left"/>
            </w:pPr>
            <w:r>
              <w:rPr>
                <w:rFonts w:ascii="Aptos" w:hAnsi="Aptos"/>
                <w:b/>
                <w:i w:val="0"/>
                <w:color w:val="FFFFFF"/>
                <w:sz w:val="18"/>
              </w:rPr>
              <w:t>Confidence</w:t>
            </w:r>
          </w:p>
        </w:tc>
        <w:tc>
          <w:tcPr>
            <w:tcW w:type="dxa" w:w="3960"/>
            <w:shd w:fill="17324D"/>
            <w:vAlign w:val="center"/>
          </w:tcPr>
          <w:p>
            <w:pPr>
              <w:spacing w:after="0"/>
              <w:jc w:val="left"/>
            </w:pPr>
            <w:r>
              <w:rPr>
                <w:rFonts w:ascii="Aptos" w:hAnsi="Aptos"/>
                <w:b/>
                <w:i w:val="0"/>
                <w:color w:val="FFFFFF"/>
                <w:sz w:val="18"/>
              </w:rPr>
              <w:t>Primary finding</w:t>
            </w:r>
          </w:p>
        </w:tc>
      </w:tr>
      <w:tr>
        <w:tc>
          <w:tcPr>
            <w:tcW w:type="dxa" w:w="2232"/>
            <w:shd w:fill="FFFFFF"/>
            <w:vAlign w:val="center"/>
          </w:tcPr>
          <w:p>
            <w:pPr>
              <w:spacing w:after="0"/>
              <w:jc w:val="left"/>
            </w:pPr>
            <w:r>
              <w:rPr>
                <w:rFonts w:ascii="Aptos" w:hAnsi="Aptos"/>
                <w:b w:val="0"/>
                <w:i w:val="0"/>
                <w:color w:val="1F2937"/>
                <w:sz w:val="17"/>
              </w:rPr>
              <w:t>AI Doctor roleplay</w:t>
            </w:r>
          </w:p>
        </w:tc>
        <w:tc>
          <w:tcPr>
            <w:tcW w:type="dxa" w:w="1584"/>
            <w:shd w:fill="FFFFFF"/>
            <w:vAlign w:val="center"/>
          </w:tcPr>
          <w:p>
            <w:pPr>
              <w:spacing w:after="0"/>
              <w:jc w:val="left"/>
            </w:pPr>
            <w:r>
              <w:rPr>
                <w:rFonts w:ascii="Aptos" w:hAnsi="Aptos"/>
                <w:b w:val="0"/>
                <w:i w:val="0"/>
                <w:color w:val="1F2937"/>
                <w:sz w:val="17"/>
              </w:rPr>
              <w:t>7.6 / 10</w:t>
            </w:r>
          </w:p>
        </w:tc>
        <w:tc>
          <w:tcPr>
            <w:tcW w:type="dxa" w:w="1584"/>
            <w:shd w:fill="FFFFFF"/>
            <w:vAlign w:val="center"/>
          </w:tcPr>
          <w:p>
            <w:pPr>
              <w:spacing w:after="0"/>
              <w:jc w:val="left"/>
            </w:pPr>
            <w:r>
              <w:rPr>
                <w:rFonts w:ascii="Aptos" w:hAnsi="Aptos"/>
                <w:b w:val="0"/>
                <w:i w:val="0"/>
                <w:color w:val="1F2937"/>
                <w:sz w:val="17"/>
              </w:rPr>
              <w:t>Medium</w:t>
            </w:r>
          </w:p>
        </w:tc>
        <w:tc>
          <w:tcPr>
            <w:tcW w:type="dxa" w:w="3960"/>
            <w:shd w:fill="FFFFFF"/>
            <w:vAlign w:val="center"/>
          </w:tcPr>
          <w:p>
            <w:pPr>
              <w:spacing w:after="0"/>
              <w:jc w:val="left"/>
            </w:pPr>
            <w:r>
              <w:rPr>
                <w:rFonts w:ascii="Aptos" w:hAnsi="Aptos"/>
                <w:b w:val="0"/>
                <w:i w:val="0"/>
                <w:color w:val="1F2937"/>
                <w:sz w:val="17"/>
              </w:rPr>
              <w:t>Strong behavioral simulation and evidence-grounded analysis; voice and dialect require validation.</w:t>
            </w:r>
          </w:p>
        </w:tc>
      </w:tr>
      <w:tr>
        <w:tc>
          <w:tcPr>
            <w:tcW w:type="dxa" w:w="2232"/>
            <w:shd w:fill="F8FAFC"/>
            <w:vAlign w:val="center"/>
          </w:tcPr>
          <w:p>
            <w:pPr>
              <w:spacing w:after="0"/>
              <w:jc w:val="left"/>
            </w:pPr>
            <w:r>
              <w:rPr>
                <w:rFonts w:ascii="Aptos" w:hAnsi="Aptos"/>
                <w:b w:val="0"/>
                <w:i w:val="0"/>
                <w:color w:val="1F2937"/>
                <w:sz w:val="17"/>
              </w:rPr>
              <w:t>Human live roleplay</w:t>
            </w:r>
          </w:p>
        </w:tc>
        <w:tc>
          <w:tcPr>
            <w:tcW w:type="dxa" w:w="1584"/>
            <w:shd w:fill="F8FAFC"/>
            <w:vAlign w:val="center"/>
          </w:tcPr>
          <w:p>
            <w:pPr>
              <w:spacing w:after="0"/>
              <w:jc w:val="left"/>
            </w:pPr>
            <w:r>
              <w:rPr>
                <w:rFonts w:ascii="Aptos" w:hAnsi="Aptos"/>
                <w:b w:val="0"/>
                <w:i w:val="0"/>
                <w:color w:val="1F2937"/>
                <w:sz w:val="17"/>
              </w:rPr>
              <w:t>7.9 / 10</w:t>
            </w:r>
          </w:p>
        </w:tc>
        <w:tc>
          <w:tcPr>
            <w:tcW w:type="dxa" w:w="1584"/>
            <w:shd w:fill="F8FAFC"/>
            <w:vAlign w:val="center"/>
          </w:tcPr>
          <w:p>
            <w:pPr>
              <w:spacing w:after="0"/>
              <w:jc w:val="left"/>
            </w:pPr>
            <w:r>
              <w:rPr>
                <w:rFonts w:ascii="Aptos" w:hAnsi="Aptos"/>
                <w:b w:val="0"/>
                <w:i w:val="0"/>
                <w:color w:val="1F2937"/>
                <w:sz w:val="17"/>
              </w:rPr>
              <w:t>Medium-high</w:t>
            </w:r>
          </w:p>
        </w:tc>
        <w:tc>
          <w:tcPr>
            <w:tcW w:type="dxa" w:w="3960"/>
            <w:shd w:fill="F8FAFC"/>
            <w:vAlign w:val="center"/>
          </w:tcPr>
          <w:p>
            <w:pPr>
              <w:spacing w:after="0"/>
              <w:jc w:val="left"/>
            </w:pPr>
            <w:r>
              <w:rPr>
                <w:rFonts w:ascii="Aptos" w:hAnsi="Aptos"/>
                <w:b w:val="0"/>
                <w:i w:val="0"/>
                <w:color w:val="1F2937"/>
                <w:sz w:val="17"/>
              </w:rPr>
              <w:t>Best current measurement coverage; scoring remains proxy-based and recording-led.</w:t>
            </w:r>
          </w:p>
        </w:tc>
      </w:tr>
      <w:tr>
        <w:tc>
          <w:tcPr>
            <w:tcW w:type="dxa" w:w="2232"/>
            <w:shd w:fill="FFFFFF"/>
            <w:vAlign w:val="center"/>
          </w:tcPr>
          <w:p>
            <w:pPr>
              <w:spacing w:after="0"/>
              <w:jc w:val="left"/>
            </w:pPr>
            <w:r>
              <w:rPr>
                <w:rFonts w:ascii="Aptos" w:hAnsi="Aptos"/>
                <w:b w:val="0"/>
                <w:i w:val="0"/>
                <w:color w:val="1F2937"/>
                <w:sz w:val="17"/>
              </w:rPr>
              <w:t>Pipecat realtime agent</w:t>
            </w:r>
          </w:p>
        </w:tc>
        <w:tc>
          <w:tcPr>
            <w:tcW w:type="dxa" w:w="1584"/>
            <w:shd w:fill="FFFFFF"/>
            <w:vAlign w:val="center"/>
          </w:tcPr>
          <w:p>
            <w:pPr>
              <w:spacing w:after="0"/>
              <w:jc w:val="left"/>
            </w:pPr>
            <w:r>
              <w:rPr>
                <w:rFonts w:ascii="Aptos" w:hAnsi="Aptos"/>
                <w:b w:val="0"/>
                <w:i w:val="0"/>
                <w:color w:val="1F2937"/>
                <w:sz w:val="17"/>
              </w:rPr>
              <w:t>6.8 / 10</w:t>
            </w:r>
          </w:p>
        </w:tc>
        <w:tc>
          <w:tcPr>
            <w:tcW w:type="dxa" w:w="1584"/>
            <w:shd w:fill="FFFFFF"/>
            <w:vAlign w:val="center"/>
          </w:tcPr>
          <w:p>
            <w:pPr>
              <w:spacing w:after="0"/>
              <w:jc w:val="left"/>
            </w:pPr>
            <w:r>
              <w:rPr>
                <w:rFonts w:ascii="Aptos" w:hAnsi="Aptos"/>
                <w:b w:val="0"/>
                <w:i w:val="0"/>
                <w:color w:val="1F2937"/>
                <w:sz w:val="17"/>
              </w:rPr>
              <w:t>Low-medium</w:t>
            </w:r>
          </w:p>
        </w:tc>
        <w:tc>
          <w:tcPr>
            <w:tcW w:type="dxa" w:w="3960"/>
            <w:shd w:fill="FFFFFF"/>
            <w:vAlign w:val="center"/>
          </w:tcPr>
          <w:p>
            <w:pPr>
              <w:spacing w:after="0"/>
              <w:jc w:val="left"/>
            </w:pPr>
            <w:r>
              <w:rPr>
                <w:rFonts w:ascii="Aptos" w:hAnsi="Aptos"/>
                <w:b w:val="0"/>
                <w:i w:val="0"/>
                <w:color w:val="1F2937"/>
                <w:sz w:val="17"/>
              </w:rPr>
              <w:t>Deployment package is ready; product integration and scoring bridge remain.</w:t>
            </w:r>
          </w:p>
        </w:tc>
      </w:tr>
    </w:tbl>
    <w:p>
      <w:pPr>
        <w:spacing w:after="0"/>
      </w:pPr>
    </w:p>
    <w:p>
      <w:pPr>
        <w:pStyle w:val="Heading2"/>
        <w:keepNext/>
      </w:pPr>
      <w:r>
        <w:rPr>
          <w:rFonts w:ascii="Aptos" w:hAnsi="Aptos"/>
          <w:b/>
          <w:i w:val="0"/>
          <w:color w:val="2E74B5"/>
          <w:sz w:val="26"/>
        </w:rPr>
        <w:t>What the scores mean</w:t>
      </w:r>
    </w:p>
    <w:p>
      <w:pPr>
        <w:spacing w:after="120" w:line="264" w:lineRule="auto"/>
      </w:pPr>
      <w:r>
        <w:rPr>
          <w:rFonts w:ascii="Aptos" w:hAnsi="Aptos"/>
          <w:b w:val="0"/>
          <w:i w:val="0"/>
          <w:color w:val="1F2937"/>
          <w:sz w:val="21"/>
        </w:rPr>
        <w:t>These are engineering review scores based on implemented capabilities, safeguards, tests and known gaps. They are not claims about sales effectiveness or learner improvement. A production quality score requires real session telemetry and expert-rater calibration.</w:t>
      </w:r>
    </w:p>
    <w:p>
      <w:pPr>
        <w:pStyle w:val="Heading2"/>
        <w:keepNext/>
      </w:pPr>
      <w:r>
        <w:rPr>
          <w:rFonts w:ascii="Aptos" w:hAnsi="Aptos"/>
          <w:b/>
          <w:i w:val="0"/>
          <w:color w:val="2E74B5"/>
          <w:sz w:val="26"/>
        </w:rPr>
        <w:t>Evidence reviewed</w:t>
      </w:r>
    </w:p>
    <w:p>
      <w:pPr>
        <w:pStyle w:val="ListBullet"/>
        <w:spacing w:after="60"/>
        <w:ind w:left="720" w:hanging="360"/>
      </w:pPr>
      <w:r>
        <w:rPr>
          <w:rFonts w:ascii="Aptos" w:hAnsi="Aptos"/>
          <w:b w:val="0"/>
          <w:i w:val="0"/>
          <w:color w:val="1F2937"/>
          <w:sz w:val="20"/>
        </w:rPr>
        <w:t>AI Doctor implementation: voice-partner-core.ts, open/turn/session-analysis routes, session-evaluator.ts and Supabase migrations 026–029.</w:t>
      </w:r>
    </w:p>
    <w:p>
      <w:pPr>
        <w:pStyle w:val="ListBullet"/>
        <w:spacing w:after="60"/>
        <w:ind w:left="720" w:hanging="360"/>
      </w:pPr>
      <w:r>
        <w:rPr>
          <w:rFonts w:ascii="Aptos" w:hAnsi="Aptos"/>
          <w:b w:val="0"/>
          <w:i w:val="0"/>
          <w:color w:val="1F2937"/>
          <w:sz w:val="20"/>
        </w:rPr>
        <w:t>Human roleplay implementation: roleplay-core.ts, RoleplayRecorder.tsx, roleplay-aggregate.ts and coaching-metric tests.</w:t>
      </w:r>
    </w:p>
    <w:p>
      <w:pPr>
        <w:pStyle w:val="ListBullet"/>
        <w:spacing w:after="60"/>
        <w:ind w:left="720" w:hanging="360"/>
      </w:pPr>
      <w:r>
        <w:rPr>
          <w:rFonts w:ascii="Aptos" w:hAnsi="Aptos"/>
          <w:b w:val="0"/>
          <w:i w:val="0"/>
          <w:color w:val="1F2937"/>
          <w:sz w:val="20"/>
        </w:rPr>
        <w:t>Realtime deployment: pipecat-agent/bot.py, scenario.py, Dockerfile and the Pipecat session route.</w:t>
      </w:r>
    </w:p>
    <w:p>
      <w:pPr>
        <w:pStyle w:val="ListBullet"/>
        <w:spacing w:after="60"/>
        <w:ind w:left="720" w:hanging="360"/>
      </w:pPr>
      <w:r>
        <w:rPr>
          <w:rFonts w:ascii="Aptos" w:hAnsi="Aptos"/>
          <w:b w:val="0"/>
          <w:i w:val="0"/>
          <w:color w:val="1F2937"/>
          <w:sz w:val="20"/>
        </w:rPr>
        <w:t>Validation: 27 Vitest files and 298 tests passed; 4 Pipecat scenario tests passed; TypeScript and Python syntax checks passed.</w:t>
      </w:r>
    </w:p>
    <w:p>
      <w:r>
        <w:br w:type="page"/>
      </w:r>
    </w:p>
    <w:p>
      <w:pPr>
        <w:pStyle w:val="Heading1"/>
        <w:keepNext/>
      </w:pPr>
      <w:r>
        <w:rPr>
          <w:rFonts w:ascii="Aptos" w:hAnsi="Aptos"/>
          <w:b/>
          <w:i w:val="0"/>
          <w:color w:val="2E74B5"/>
          <w:sz w:val="32"/>
        </w:rPr>
        <w:t>1. AI Doctor roleplay</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448"/>
            <w:shd w:fill="17324D"/>
            <w:vAlign w:val="center"/>
          </w:tcPr>
          <w:p>
            <w:pPr>
              <w:spacing w:after="0"/>
              <w:jc w:val="left"/>
            </w:pPr>
            <w:r>
              <w:rPr>
                <w:rFonts w:ascii="Aptos" w:hAnsi="Aptos"/>
                <w:b/>
                <w:i w:val="0"/>
                <w:color w:val="FFFFFF"/>
                <w:sz w:val="18"/>
              </w:rPr>
              <w:t>Dimension</w:t>
            </w:r>
          </w:p>
        </w:tc>
        <w:tc>
          <w:tcPr>
            <w:tcW w:type="dxa" w:w="1224"/>
            <w:shd w:fill="17324D"/>
            <w:vAlign w:val="center"/>
          </w:tcPr>
          <w:p>
            <w:pPr>
              <w:spacing w:after="0"/>
              <w:jc w:val="left"/>
            </w:pPr>
            <w:r>
              <w:rPr>
                <w:rFonts w:ascii="Aptos" w:hAnsi="Aptos"/>
                <w:b/>
                <w:i w:val="0"/>
                <w:color w:val="FFFFFF"/>
                <w:sz w:val="18"/>
              </w:rPr>
              <w:t>Score</w:t>
            </w:r>
          </w:p>
        </w:tc>
        <w:tc>
          <w:tcPr>
            <w:tcW w:type="dxa" w:w="5688"/>
            <w:shd w:fill="17324D"/>
            <w:vAlign w:val="center"/>
          </w:tcPr>
          <w:p>
            <w:pPr>
              <w:spacing w:after="0"/>
              <w:jc w:val="left"/>
            </w:pPr>
            <w:r>
              <w:rPr>
                <w:rFonts w:ascii="Aptos" w:hAnsi="Aptos"/>
                <w:b/>
                <w:i w:val="0"/>
                <w:color w:val="FFFFFF"/>
                <w:sz w:val="18"/>
              </w:rPr>
              <w:t>Evidence-based assessment</w:t>
            </w:r>
          </w:p>
        </w:tc>
      </w:tr>
      <w:tr>
        <w:tc>
          <w:tcPr>
            <w:tcW w:type="dxa" w:w="2448"/>
            <w:shd w:fill="FFFFFF"/>
            <w:vAlign w:val="center"/>
          </w:tcPr>
          <w:p>
            <w:pPr>
              <w:spacing w:after="0"/>
              <w:jc w:val="left"/>
            </w:pPr>
            <w:r>
              <w:rPr>
                <w:rFonts w:ascii="Aptos" w:hAnsi="Aptos"/>
                <w:b w:val="0"/>
                <w:i w:val="0"/>
                <w:color w:val="1F2937"/>
                <w:sz w:val="17"/>
              </w:rPr>
              <w:t>Personalization</w:t>
            </w:r>
          </w:p>
        </w:tc>
        <w:tc>
          <w:tcPr>
            <w:tcW w:type="dxa" w:w="1224"/>
            <w:shd w:fill="FFFFFF"/>
            <w:vAlign w:val="center"/>
          </w:tcPr>
          <w:p>
            <w:pPr>
              <w:spacing w:after="0"/>
              <w:jc w:val="left"/>
            </w:pPr>
            <w:r>
              <w:rPr>
                <w:rFonts w:ascii="Aptos" w:hAnsi="Aptos"/>
                <w:b w:val="0"/>
                <w:i w:val="0"/>
                <w:color w:val="1F2937"/>
                <w:sz w:val="17"/>
              </w:rPr>
              <w:t>8.5</w:t>
            </w:r>
          </w:p>
        </w:tc>
        <w:tc>
          <w:tcPr>
            <w:tcW w:type="dxa" w:w="5688"/>
            <w:shd w:fill="FFFFFF"/>
            <w:vAlign w:val="center"/>
          </w:tcPr>
          <w:p>
            <w:pPr>
              <w:spacing w:after="0"/>
              <w:jc w:val="left"/>
            </w:pPr>
            <w:r>
              <w:rPr>
                <w:rFonts w:ascii="Aptos" w:hAnsi="Aptos"/>
                <w:b w:val="0"/>
                <w:i w:val="0"/>
                <w:color w:val="1F2937"/>
                <w:sz w:val="17"/>
              </w:rPr>
              <w:t>Name, specialty, style, phrases, objections, visit history, hidden concern and physician state are used.</w:t>
            </w:r>
          </w:p>
        </w:tc>
      </w:tr>
      <w:tr>
        <w:tc>
          <w:tcPr>
            <w:tcW w:type="dxa" w:w="2448"/>
            <w:shd w:fill="F8FAFC"/>
            <w:vAlign w:val="center"/>
          </w:tcPr>
          <w:p>
            <w:pPr>
              <w:spacing w:after="0"/>
              <w:jc w:val="left"/>
            </w:pPr>
            <w:r>
              <w:rPr>
                <w:rFonts w:ascii="Aptos" w:hAnsi="Aptos"/>
                <w:b w:val="0"/>
                <w:i w:val="0"/>
                <w:color w:val="1F2937"/>
                <w:sz w:val="17"/>
              </w:rPr>
              <w:t>Conversational realism</w:t>
            </w:r>
          </w:p>
        </w:tc>
        <w:tc>
          <w:tcPr>
            <w:tcW w:type="dxa" w:w="1224"/>
            <w:shd w:fill="F8FAFC"/>
            <w:vAlign w:val="center"/>
          </w:tcPr>
          <w:p>
            <w:pPr>
              <w:spacing w:after="0"/>
              <w:jc w:val="left"/>
            </w:pPr>
            <w:r>
              <w:rPr>
                <w:rFonts w:ascii="Aptos" w:hAnsi="Aptos"/>
                <w:b w:val="0"/>
                <w:i w:val="0"/>
                <w:color w:val="1F2937"/>
                <w:sz w:val="17"/>
              </w:rPr>
              <w:t>7.5</w:t>
            </w:r>
          </w:p>
        </w:tc>
        <w:tc>
          <w:tcPr>
            <w:tcW w:type="dxa" w:w="5688"/>
            <w:shd w:fill="F8FAFC"/>
            <w:vAlign w:val="center"/>
          </w:tcPr>
          <w:p>
            <w:pPr>
              <w:spacing w:after="0"/>
              <w:jc w:val="left"/>
            </w:pPr>
            <w:r>
              <w:rPr>
                <w:rFonts w:ascii="Aptos" w:hAnsi="Aptos"/>
                <w:b w:val="0"/>
                <w:i w:val="0"/>
                <w:color w:val="1F2937"/>
                <w:sz w:val="17"/>
              </w:rPr>
              <w:t>Doctor can remain resistant, become satisfied, or disengage based on the rep response.</w:t>
            </w:r>
          </w:p>
        </w:tc>
      </w:tr>
      <w:tr>
        <w:tc>
          <w:tcPr>
            <w:tcW w:type="dxa" w:w="2448"/>
            <w:shd w:fill="FFFFFF"/>
            <w:vAlign w:val="center"/>
          </w:tcPr>
          <w:p>
            <w:pPr>
              <w:spacing w:after="0"/>
              <w:jc w:val="left"/>
            </w:pPr>
            <w:r>
              <w:rPr>
                <w:rFonts w:ascii="Aptos" w:hAnsi="Aptos"/>
                <w:b w:val="0"/>
                <w:i w:val="0"/>
                <w:color w:val="1F2937"/>
                <w:sz w:val="17"/>
              </w:rPr>
              <w:t>Objection handling</w:t>
            </w:r>
          </w:p>
        </w:tc>
        <w:tc>
          <w:tcPr>
            <w:tcW w:type="dxa" w:w="1224"/>
            <w:shd w:fill="FFFFFF"/>
            <w:vAlign w:val="center"/>
          </w:tcPr>
          <w:p>
            <w:pPr>
              <w:spacing w:after="0"/>
              <w:jc w:val="left"/>
            </w:pPr>
            <w:r>
              <w:rPr>
                <w:rFonts w:ascii="Aptos" w:hAnsi="Aptos"/>
                <w:b w:val="0"/>
                <w:i w:val="0"/>
                <w:color w:val="1F2937"/>
                <w:sz w:val="17"/>
              </w:rPr>
              <w:t>8.5</w:t>
            </w:r>
          </w:p>
        </w:tc>
        <w:tc>
          <w:tcPr>
            <w:tcW w:type="dxa" w:w="5688"/>
            <w:shd w:fill="FFFFFF"/>
            <w:vAlign w:val="center"/>
          </w:tcPr>
          <w:p>
            <w:pPr>
              <w:spacing w:after="0"/>
              <w:jc w:val="left"/>
            </w:pPr>
            <w:r>
              <w:rPr>
                <w:rFonts w:ascii="Aptos" w:hAnsi="Aptos"/>
                <w:b w:val="0"/>
                <w:i w:val="0"/>
                <w:color w:val="1F2937"/>
                <w:sz w:val="17"/>
              </w:rPr>
              <w:t>Five objection types and CLEAR steps: clarify, listen, empathy, answer, recheck.</w:t>
            </w:r>
          </w:p>
        </w:tc>
      </w:tr>
      <w:tr>
        <w:tc>
          <w:tcPr>
            <w:tcW w:type="dxa" w:w="2448"/>
            <w:shd w:fill="F8FAFC"/>
            <w:vAlign w:val="center"/>
          </w:tcPr>
          <w:p>
            <w:pPr>
              <w:spacing w:after="0"/>
              <w:jc w:val="left"/>
            </w:pPr>
            <w:r>
              <w:rPr>
                <w:rFonts w:ascii="Aptos" w:hAnsi="Aptos"/>
                <w:b w:val="0"/>
                <w:i w:val="0"/>
                <w:color w:val="1F2937"/>
                <w:sz w:val="17"/>
              </w:rPr>
              <w:t>State modeling</w:t>
            </w:r>
          </w:p>
        </w:tc>
        <w:tc>
          <w:tcPr>
            <w:tcW w:type="dxa" w:w="1224"/>
            <w:shd w:fill="F8FAFC"/>
            <w:vAlign w:val="center"/>
          </w:tcPr>
          <w:p>
            <w:pPr>
              <w:spacing w:after="0"/>
              <w:jc w:val="left"/>
            </w:pPr>
            <w:r>
              <w:rPr>
                <w:rFonts w:ascii="Aptos" w:hAnsi="Aptos"/>
                <w:b w:val="0"/>
                <w:i w:val="0"/>
                <w:color w:val="1F2937"/>
                <w:sz w:val="17"/>
              </w:rPr>
              <w:t>8.0</w:t>
            </w:r>
          </w:p>
        </w:tc>
        <w:tc>
          <w:tcPr>
            <w:tcW w:type="dxa" w:w="5688"/>
            <w:shd w:fill="F8FAFC"/>
            <w:vAlign w:val="center"/>
          </w:tcPr>
          <w:p>
            <w:pPr>
              <w:spacing w:after="0"/>
              <w:jc w:val="left"/>
            </w:pPr>
            <w:r>
              <w:rPr>
                <w:rFonts w:ascii="Aptos" w:hAnsi="Aptos"/>
                <w:b w:val="0"/>
                <w:i w:val="0"/>
                <w:color w:val="1F2937"/>
                <w:sz w:val="17"/>
              </w:rPr>
              <w:t>Trust, skepticism, engagement and time pressure carry across turns.</w:t>
            </w:r>
          </w:p>
        </w:tc>
      </w:tr>
      <w:tr>
        <w:tc>
          <w:tcPr>
            <w:tcW w:type="dxa" w:w="2448"/>
            <w:shd w:fill="FFFFFF"/>
            <w:vAlign w:val="center"/>
          </w:tcPr>
          <w:p>
            <w:pPr>
              <w:spacing w:after="0"/>
              <w:jc w:val="left"/>
            </w:pPr>
            <w:r>
              <w:rPr>
                <w:rFonts w:ascii="Aptos" w:hAnsi="Aptos"/>
                <w:b w:val="0"/>
                <w:i w:val="0"/>
                <w:color w:val="1F2937"/>
                <w:sz w:val="17"/>
              </w:rPr>
              <w:t>Scoring and explainability</w:t>
            </w:r>
          </w:p>
        </w:tc>
        <w:tc>
          <w:tcPr>
            <w:tcW w:type="dxa" w:w="1224"/>
            <w:shd w:fill="FFFFFF"/>
            <w:vAlign w:val="center"/>
          </w:tcPr>
          <w:p>
            <w:pPr>
              <w:spacing w:after="0"/>
              <w:jc w:val="left"/>
            </w:pPr>
            <w:r>
              <w:rPr>
                <w:rFonts w:ascii="Aptos" w:hAnsi="Aptos"/>
                <w:b w:val="0"/>
                <w:i w:val="0"/>
                <w:color w:val="1F2937"/>
                <w:sz w:val="17"/>
              </w:rPr>
              <w:t>8.5</w:t>
            </w:r>
          </w:p>
        </w:tc>
        <w:tc>
          <w:tcPr>
            <w:tcW w:type="dxa" w:w="5688"/>
            <w:shd w:fill="FFFFFF"/>
            <w:vAlign w:val="center"/>
          </w:tcPr>
          <w:p>
            <w:pPr>
              <w:spacing w:after="0"/>
              <w:jc w:val="left"/>
            </w:pPr>
            <w:r>
              <w:rPr>
                <w:rFonts w:ascii="Aptos" w:hAnsi="Aptos"/>
                <w:b w:val="0"/>
                <w:i w:val="0"/>
                <w:color w:val="1F2937"/>
                <w:sz w:val="17"/>
              </w:rPr>
              <w:t>Deep Analysis scores are grounded to persisted transcript turns and real quotes.</w:t>
            </w:r>
          </w:p>
        </w:tc>
      </w:tr>
      <w:tr>
        <w:tc>
          <w:tcPr>
            <w:tcW w:type="dxa" w:w="2448"/>
            <w:shd w:fill="F8FAFC"/>
            <w:vAlign w:val="center"/>
          </w:tcPr>
          <w:p>
            <w:pPr>
              <w:spacing w:after="0"/>
              <w:jc w:val="left"/>
            </w:pPr>
            <w:r>
              <w:rPr>
                <w:rFonts w:ascii="Aptos" w:hAnsi="Aptos"/>
                <w:b w:val="0"/>
                <w:i w:val="0"/>
                <w:color w:val="1F2937"/>
                <w:sz w:val="17"/>
              </w:rPr>
              <w:t>Safety/compliance</w:t>
            </w:r>
          </w:p>
        </w:tc>
        <w:tc>
          <w:tcPr>
            <w:tcW w:type="dxa" w:w="1224"/>
            <w:shd w:fill="F8FAFC"/>
            <w:vAlign w:val="center"/>
          </w:tcPr>
          <w:p>
            <w:pPr>
              <w:spacing w:after="0"/>
              <w:jc w:val="left"/>
            </w:pPr>
            <w:r>
              <w:rPr>
                <w:rFonts w:ascii="Aptos" w:hAnsi="Aptos"/>
                <w:b w:val="0"/>
                <w:i w:val="0"/>
                <w:color w:val="1F2937"/>
                <w:sz w:val="17"/>
              </w:rPr>
              <w:t>8.5</w:t>
            </w:r>
          </w:p>
        </w:tc>
        <w:tc>
          <w:tcPr>
            <w:tcW w:type="dxa" w:w="5688"/>
            <w:shd w:fill="F8FAFC"/>
            <w:vAlign w:val="center"/>
          </w:tcPr>
          <w:p>
            <w:pPr>
              <w:spacing w:after="0"/>
              <w:jc w:val="left"/>
            </w:pPr>
            <w:r>
              <w:rPr>
                <w:rFonts w:ascii="Aptos" w:hAnsi="Aptos"/>
                <w:b w:val="0"/>
                <w:i w:val="0"/>
                <w:color w:val="1F2937"/>
                <w:sz w:val="17"/>
              </w:rPr>
              <w:t>Prompts prohibit invented clinical data, dosages, study results and branded drugs.</w:t>
            </w:r>
          </w:p>
        </w:tc>
      </w:tr>
      <w:tr>
        <w:tc>
          <w:tcPr>
            <w:tcW w:type="dxa" w:w="2448"/>
            <w:shd w:fill="FFFFFF"/>
            <w:vAlign w:val="center"/>
          </w:tcPr>
          <w:p>
            <w:pPr>
              <w:spacing w:after="0"/>
              <w:jc w:val="left"/>
            </w:pPr>
            <w:r>
              <w:rPr>
                <w:rFonts w:ascii="Aptos" w:hAnsi="Aptos"/>
                <w:b w:val="0"/>
                <w:i w:val="0"/>
                <w:color w:val="1F2937"/>
                <w:sz w:val="17"/>
              </w:rPr>
              <w:t>English voice path</w:t>
            </w:r>
          </w:p>
        </w:tc>
        <w:tc>
          <w:tcPr>
            <w:tcW w:type="dxa" w:w="1224"/>
            <w:shd w:fill="FFFFFF"/>
            <w:vAlign w:val="center"/>
          </w:tcPr>
          <w:p>
            <w:pPr>
              <w:spacing w:after="0"/>
              <w:jc w:val="left"/>
            </w:pPr>
            <w:r>
              <w:rPr>
                <w:rFonts w:ascii="Aptos" w:hAnsi="Aptos"/>
                <w:b w:val="0"/>
                <w:i w:val="0"/>
                <w:color w:val="1F2937"/>
                <w:sz w:val="17"/>
              </w:rPr>
              <w:t>8.0</w:t>
            </w:r>
          </w:p>
        </w:tc>
        <w:tc>
          <w:tcPr>
            <w:tcW w:type="dxa" w:w="5688"/>
            <w:shd w:fill="FFFFFF"/>
            <w:vAlign w:val="center"/>
          </w:tcPr>
          <w:p>
            <w:pPr>
              <w:spacing w:after="0"/>
              <w:jc w:val="left"/>
            </w:pPr>
            <w:r>
              <w:rPr>
                <w:rFonts w:ascii="Aptos" w:hAnsi="Aptos"/>
                <w:b w:val="0"/>
                <w:i w:val="0"/>
                <w:color w:val="1F2937"/>
                <w:sz w:val="17"/>
              </w:rPr>
              <w:t>Whisper STT → Claude judge → OpenAI TTS is a clear working chain.</w:t>
            </w:r>
          </w:p>
        </w:tc>
      </w:tr>
      <w:tr>
        <w:tc>
          <w:tcPr>
            <w:tcW w:type="dxa" w:w="2448"/>
            <w:shd w:fill="F8FAFC"/>
            <w:vAlign w:val="center"/>
          </w:tcPr>
          <w:p>
            <w:pPr>
              <w:spacing w:after="0"/>
              <w:jc w:val="left"/>
            </w:pPr>
            <w:r>
              <w:rPr>
                <w:rFonts w:ascii="Aptos" w:hAnsi="Aptos"/>
                <w:b w:val="0"/>
                <w:i w:val="0"/>
                <w:color w:val="1F2937"/>
                <w:sz w:val="17"/>
              </w:rPr>
              <w:t>Iraqi Arabic voice</w:t>
            </w:r>
          </w:p>
        </w:tc>
        <w:tc>
          <w:tcPr>
            <w:tcW w:type="dxa" w:w="1224"/>
            <w:shd w:fill="F8FAFC"/>
            <w:vAlign w:val="center"/>
          </w:tcPr>
          <w:p>
            <w:pPr>
              <w:spacing w:after="0"/>
              <w:jc w:val="left"/>
            </w:pPr>
            <w:r>
              <w:rPr>
                <w:rFonts w:ascii="Aptos" w:hAnsi="Aptos"/>
                <w:b w:val="0"/>
                <w:i w:val="0"/>
                <w:color w:val="1F2937"/>
                <w:sz w:val="17"/>
              </w:rPr>
              <w:t>5.5</w:t>
            </w:r>
          </w:p>
        </w:tc>
        <w:tc>
          <w:tcPr>
            <w:tcW w:type="dxa" w:w="5688"/>
            <w:shd w:fill="F8FAFC"/>
            <w:vAlign w:val="center"/>
          </w:tcPr>
          <w:p>
            <w:pPr>
              <w:spacing w:after="0"/>
              <w:jc w:val="left"/>
            </w:pPr>
            <w:r>
              <w:rPr>
                <w:rFonts w:ascii="Aptos" w:hAnsi="Aptos"/>
                <w:b w:val="0"/>
                <w:i w:val="0"/>
                <w:color w:val="1F2937"/>
                <w:sz w:val="17"/>
              </w:rPr>
              <w:t>Current StyleShift speech instructions explicitly target Modern Standard Arabic; Iraqi quality is unverified.</w:t>
            </w:r>
          </w:p>
        </w:tc>
      </w:tr>
      <w:tr>
        <w:tc>
          <w:tcPr>
            <w:tcW w:type="dxa" w:w="2448"/>
            <w:shd w:fill="FFFFFF"/>
            <w:vAlign w:val="center"/>
          </w:tcPr>
          <w:p>
            <w:pPr>
              <w:spacing w:after="0"/>
              <w:jc w:val="left"/>
            </w:pPr>
            <w:r>
              <w:rPr>
                <w:rFonts w:ascii="Aptos" w:hAnsi="Aptos"/>
                <w:b w:val="0"/>
                <w:i w:val="0"/>
                <w:color w:val="1F2937"/>
                <w:sz w:val="17"/>
              </w:rPr>
              <w:t>Language switching</w:t>
            </w:r>
          </w:p>
        </w:tc>
        <w:tc>
          <w:tcPr>
            <w:tcW w:type="dxa" w:w="1224"/>
            <w:shd w:fill="FFFFFF"/>
            <w:vAlign w:val="center"/>
          </w:tcPr>
          <w:p>
            <w:pPr>
              <w:spacing w:after="0"/>
              <w:jc w:val="left"/>
            </w:pPr>
            <w:r>
              <w:rPr>
                <w:rFonts w:ascii="Aptos" w:hAnsi="Aptos"/>
                <w:b w:val="0"/>
                <w:i w:val="0"/>
                <w:color w:val="1F2937"/>
                <w:sz w:val="17"/>
              </w:rPr>
              <w:t>5.0</w:t>
            </w:r>
          </w:p>
        </w:tc>
        <w:tc>
          <w:tcPr>
            <w:tcW w:type="dxa" w:w="5688"/>
            <w:shd w:fill="FFFFFF"/>
            <w:vAlign w:val="center"/>
          </w:tcPr>
          <w:p>
            <w:pPr>
              <w:spacing w:after="0"/>
              <w:jc w:val="left"/>
            </w:pPr>
            <w:r>
              <w:rPr>
                <w:rFonts w:ascii="Aptos" w:hAnsi="Aptos"/>
                <w:b w:val="0"/>
                <w:i w:val="0"/>
                <w:color w:val="1F2937"/>
                <w:sz w:val="17"/>
              </w:rPr>
              <w:t>Language is selected per session and pinned; mid-session switching is not complete.</w:t>
            </w:r>
          </w:p>
        </w:tc>
      </w:tr>
      <w:tr>
        <w:tc>
          <w:tcPr>
            <w:tcW w:type="dxa" w:w="2448"/>
            <w:shd w:fill="F8FAFC"/>
            <w:vAlign w:val="center"/>
          </w:tcPr>
          <w:p>
            <w:pPr>
              <w:spacing w:after="0"/>
              <w:jc w:val="left"/>
            </w:pPr>
            <w:r>
              <w:rPr>
                <w:rFonts w:ascii="Aptos" w:hAnsi="Aptos"/>
                <w:b w:val="0"/>
                <w:i w:val="0"/>
                <w:color w:val="1F2937"/>
                <w:sz w:val="17"/>
              </w:rPr>
              <w:t>Latency</w:t>
            </w:r>
          </w:p>
        </w:tc>
        <w:tc>
          <w:tcPr>
            <w:tcW w:type="dxa" w:w="1224"/>
            <w:shd w:fill="F8FAFC"/>
            <w:vAlign w:val="center"/>
          </w:tcPr>
          <w:p>
            <w:pPr>
              <w:spacing w:after="0"/>
              <w:jc w:val="left"/>
            </w:pPr>
            <w:r>
              <w:rPr>
                <w:rFonts w:ascii="Aptos" w:hAnsi="Aptos"/>
                <w:b w:val="0"/>
                <w:i w:val="0"/>
                <w:color w:val="1F2937"/>
                <w:sz w:val="17"/>
              </w:rPr>
              <w:t>6.5</w:t>
            </w:r>
          </w:p>
        </w:tc>
        <w:tc>
          <w:tcPr>
            <w:tcW w:type="dxa" w:w="5688"/>
            <w:shd w:fill="F8FAFC"/>
            <w:vAlign w:val="center"/>
          </w:tcPr>
          <w:p>
            <w:pPr>
              <w:spacing w:after="0"/>
              <w:jc w:val="left"/>
            </w:pPr>
            <w:r>
              <w:rPr>
                <w:rFonts w:ascii="Aptos" w:hAnsi="Aptos"/>
                <w:b w:val="0"/>
                <w:i w:val="0"/>
                <w:color w:val="1F2937"/>
                <w:sz w:val="17"/>
              </w:rPr>
              <w:t>Sequential STT, LLM judgment and TTS can create noticeable pauses.</w:t>
            </w:r>
          </w:p>
        </w:tc>
      </w:tr>
    </w:tbl>
    <w:p>
      <w:pPr>
        <w:spacing w:after="0"/>
      </w:pPr>
    </w:p>
    <w:p>
      <w:pPr>
        <w:pStyle w:val="Heading2"/>
        <w:keepNext/>
      </w:pPr>
      <w:r>
        <w:rPr>
          <w:rFonts w:ascii="Aptos" w:hAnsi="Aptos"/>
          <w:b/>
          <w:i w:val="0"/>
          <w:color w:val="2E74B5"/>
          <w:sz w:val="26"/>
        </w:rPr>
        <w:t>AI Doctor measurement model</w:t>
      </w:r>
    </w:p>
    <w:p>
      <w:pPr>
        <w:spacing w:after="120" w:line="264" w:lineRule="auto"/>
      </w:pPr>
      <w:r>
        <w:rPr>
          <w:rFonts w:ascii="Aptos" w:hAnsi="Aptos"/>
          <w:b w:val="0"/>
          <w:i w:val="0"/>
          <w:color w:val="1F2937"/>
          <w:sz w:val="21"/>
        </w:rPr>
        <w:t>Deep Analysis supports nine competency dimensions and seven adaptation dimensions. Each score is 0–100 or null when the transcript does not exercise the dimension. The server computes the composite adaptation score from valid dimension scores rather than trusting a model-supplied composite.</w:t>
      </w:r>
    </w:p>
    <w:tbl>
      <w:tblPr>
        <w:tblStyle w:val="TableGrid"/>
        <w:tblW w:type="auto" w:w="0"/>
        <w:jc w:val="left"/>
        <w:tblLayout w:type="fixed"/>
        <w:tblLook w:firstColumn="1" w:firstRow="1" w:lastColumn="0" w:lastRow="0" w:noHBand="0" w:noVBand="1" w:val="04A0"/>
      </w:tblPr>
      <w:tblGrid>
        <w:gridCol w:w="4680"/>
        <w:gridCol w:w="4680"/>
      </w:tblGrid>
      <w:tr>
        <w:tc>
          <w:tcPr>
            <w:tcW w:type="dxa" w:w="2448"/>
            <w:shd w:fill="17324D"/>
            <w:vAlign w:val="center"/>
          </w:tcPr>
          <w:p>
            <w:pPr>
              <w:spacing w:after="0"/>
              <w:jc w:val="left"/>
            </w:pPr>
            <w:r>
              <w:rPr>
                <w:rFonts w:ascii="Aptos" w:hAnsi="Aptos"/>
                <w:b/>
                <w:i w:val="0"/>
                <w:color w:val="FFFFFF"/>
                <w:sz w:val="18"/>
              </w:rPr>
              <w:t>Measurement family</w:t>
            </w:r>
          </w:p>
        </w:tc>
        <w:tc>
          <w:tcPr>
            <w:tcW w:type="dxa" w:w="6912"/>
            <w:shd w:fill="17324D"/>
            <w:vAlign w:val="center"/>
          </w:tcPr>
          <w:p>
            <w:pPr>
              <w:spacing w:after="0"/>
              <w:jc w:val="left"/>
            </w:pPr>
            <w:r>
              <w:rPr>
                <w:rFonts w:ascii="Aptos" w:hAnsi="Aptos"/>
                <w:b/>
                <w:i w:val="0"/>
                <w:color w:val="FFFFFF"/>
                <w:sz w:val="18"/>
              </w:rPr>
              <w:t>Current outputs</w:t>
            </w:r>
          </w:p>
        </w:tc>
      </w:tr>
      <w:tr>
        <w:tc>
          <w:tcPr>
            <w:tcW w:type="dxa" w:w="2448"/>
            <w:shd w:fill="FFFFFF"/>
            <w:vAlign w:val="center"/>
          </w:tcPr>
          <w:p>
            <w:pPr>
              <w:spacing w:after="0"/>
              <w:jc w:val="left"/>
            </w:pPr>
            <w:r>
              <w:rPr>
                <w:rFonts w:ascii="Aptos" w:hAnsi="Aptos"/>
                <w:b w:val="0"/>
                <w:i w:val="0"/>
                <w:color w:val="1F2937"/>
                <w:sz w:val="17"/>
              </w:rPr>
              <w:t>Competencies</w:t>
            </w:r>
          </w:p>
        </w:tc>
        <w:tc>
          <w:tcPr>
            <w:tcW w:type="dxa" w:w="6912"/>
            <w:shd w:fill="FFFFFF"/>
            <w:vAlign w:val="center"/>
          </w:tcPr>
          <w:p>
            <w:pPr>
              <w:spacing w:after="0"/>
              <w:jc w:val="left"/>
            </w:pPr>
            <w:r>
              <w:rPr>
                <w:rFonts w:ascii="Aptos" w:hAnsi="Aptos"/>
                <w:b w:val="0"/>
                <w:i w:val="0"/>
                <w:color w:val="1F2937"/>
                <w:sz w:val="17"/>
              </w:rPr>
              <w:t>Opening, questioning, discovery, listening, relevance, value communication, evidence use, objection handling, closing.</w:t>
            </w:r>
          </w:p>
        </w:tc>
      </w:tr>
      <w:tr>
        <w:tc>
          <w:tcPr>
            <w:tcW w:type="dxa" w:w="2448"/>
            <w:shd w:fill="F8FAFC"/>
            <w:vAlign w:val="center"/>
          </w:tcPr>
          <w:p>
            <w:pPr>
              <w:spacing w:after="0"/>
              <w:jc w:val="left"/>
            </w:pPr>
            <w:r>
              <w:rPr>
                <w:rFonts w:ascii="Aptos" w:hAnsi="Aptos"/>
                <w:b w:val="0"/>
                <w:i w:val="0"/>
                <w:color w:val="1F2937"/>
                <w:sz w:val="17"/>
              </w:rPr>
              <w:t>Adaptation</w:t>
            </w:r>
          </w:p>
        </w:tc>
        <w:tc>
          <w:tcPr>
            <w:tcW w:type="dxa" w:w="6912"/>
            <w:shd w:fill="F8FAFC"/>
            <w:vAlign w:val="center"/>
          </w:tcPr>
          <w:p>
            <w:pPr>
              <w:spacing w:after="0"/>
              <w:jc w:val="left"/>
            </w:pPr>
            <w:r>
              <w:rPr>
                <w:rFonts w:ascii="Aptos" w:hAnsi="Aptos"/>
                <w:b w:val="0"/>
                <w:i w:val="0"/>
                <w:color w:val="1F2937"/>
                <w:sz w:val="17"/>
              </w:rPr>
              <w:t>Pace, detail, evidence orientation, questioning, structure, directness, warmth.</w:t>
            </w:r>
          </w:p>
        </w:tc>
      </w:tr>
      <w:tr>
        <w:tc>
          <w:tcPr>
            <w:tcW w:type="dxa" w:w="2448"/>
            <w:shd w:fill="FFFFFF"/>
            <w:vAlign w:val="center"/>
          </w:tcPr>
          <w:p>
            <w:pPr>
              <w:spacing w:after="0"/>
              <w:jc w:val="left"/>
            </w:pPr>
            <w:r>
              <w:rPr>
                <w:rFonts w:ascii="Aptos" w:hAnsi="Aptos"/>
                <w:b w:val="0"/>
                <w:i w:val="0"/>
                <w:color w:val="1F2937"/>
                <w:sz w:val="17"/>
              </w:rPr>
              <w:t>Behavioral signals</w:t>
            </w:r>
          </w:p>
        </w:tc>
        <w:tc>
          <w:tcPr>
            <w:tcW w:type="dxa" w:w="6912"/>
            <w:shd w:fill="FFFFFF"/>
            <w:vAlign w:val="center"/>
          </w:tcPr>
          <w:p>
            <w:pPr>
              <w:spacing w:after="0"/>
              <w:jc w:val="left"/>
            </w:pPr>
            <w:r>
              <w:rPr>
                <w:rFonts w:ascii="Aptos" w:hAnsi="Aptos"/>
                <w:b w:val="0"/>
                <w:i w:val="0"/>
                <w:color w:val="1F2937"/>
                <w:sz w:val="17"/>
              </w:rPr>
              <w:t>Rep/doctor turn counts, average rep turn length, question counts, open-question ratio, CLEAR-step count and sequence.</w:t>
            </w:r>
          </w:p>
        </w:tc>
      </w:tr>
      <w:tr>
        <w:tc>
          <w:tcPr>
            <w:tcW w:type="dxa" w:w="2448"/>
            <w:shd w:fill="F8FAFC"/>
            <w:vAlign w:val="center"/>
          </w:tcPr>
          <w:p>
            <w:pPr>
              <w:spacing w:after="0"/>
              <w:jc w:val="left"/>
            </w:pPr>
            <w:r>
              <w:rPr>
                <w:rFonts w:ascii="Aptos" w:hAnsi="Aptos"/>
                <w:b w:val="0"/>
                <w:i w:val="0"/>
                <w:color w:val="1F2937"/>
                <w:sz w:val="17"/>
              </w:rPr>
              <w:t>Session outcome</w:t>
            </w:r>
          </w:p>
        </w:tc>
        <w:tc>
          <w:tcPr>
            <w:tcW w:type="dxa" w:w="6912"/>
            <w:shd w:fill="F8FAFC"/>
            <w:vAlign w:val="center"/>
          </w:tcPr>
          <w:p>
            <w:pPr>
              <w:spacing w:after="0"/>
              <w:jc w:val="left"/>
            </w:pPr>
            <w:r>
              <w:rPr>
                <w:rFonts w:ascii="Aptos" w:hAnsi="Aptos"/>
                <w:b w:val="0"/>
                <w:i w:val="0"/>
                <w:color w:val="1F2937"/>
                <w:sz w:val="17"/>
              </w:rPr>
              <w:t>Won, continue or escalated; turns to resolution; objection type.</w:t>
            </w:r>
          </w:p>
        </w:tc>
      </w:tr>
      <w:tr>
        <w:tc>
          <w:tcPr>
            <w:tcW w:type="dxa" w:w="2448"/>
            <w:shd w:fill="FFFFFF"/>
            <w:vAlign w:val="center"/>
          </w:tcPr>
          <w:p>
            <w:pPr>
              <w:spacing w:after="0"/>
              <w:jc w:val="left"/>
            </w:pPr>
            <w:r>
              <w:rPr>
                <w:rFonts w:ascii="Aptos" w:hAnsi="Aptos"/>
                <w:b w:val="0"/>
                <w:i w:val="0"/>
                <w:color w:val="1F2937"/>
                <w:sz w:val="17"/>
              </w:rPr>
              <w:t>Evidence</w:t>
            </w:r>
          </w:p>
        </w:tc>
        <w:tc>
          <w:tcPr>
            <w:tcW w:type="dxa" w:w="6912"/>
            <w:shd w:fill="FFFFFF"/>
            <w:vAlign w:val="center"/>
          </w:tcPr>
          <w:p>
            <w:pPr>
              <w:spacing w:after="0"/>
              <w:jc w:val="left"/>
            </w:pPr>
            <w:r>
              <w:rPr>
                <w:rFonts w:ascii="Aptos" w:hAnsi="Aptos"/>
                <w:b w:val="0"/>
                <w:i w:val="0"/>
                <w:color w:val="1F2937"/>
                <w:sz w:val="17"/>
              </w:rPr>
              <w:t>Critical moments with real turn references, quotes and timestamps.</w:t>
            </w:r>
          </w:p>
        </w:tc>
      </w:tr>
      <w:tr>
        <w:tc>
          <w:tcPr>
            <w:tcW w:type="dxa" w:w="2448"/>
            <w:shd w:fill="F8FAFC"/>
            <w:vAlign w:val="center"/>
          </w:tcPr>
          <w:p>
            <w:pPr>
              <w:spacing w:after="0"/>
              <w:jc w:val="left"/>
            </w:pPr>
            <w:r>
              <w:rPr>
                <w:rFonts w:ascii="Aptos" w:hAnsi="Aptos"/>
                <w:b w:val="0"/>
                <w:i w:val="0"/>
                <w:color w:val="1F2937"/>
                <w:sz w:val="17"/>
              </w:rPr>
              <w:t>Advanced analysis</w:t>
            </w:r>
          </w:p>
        </w:tc>
        <w:tc>
          <w:tcPr>
            <w:tcW w:type="dxa" w:w="6912"/>
            <w:shd w:fill="F8FAFC"/>
            <w:vAlign w:val="center"/>
          </w:tcPr>
          <w:p>
            <w:pPr>
              <w:spacing w:after="0"/>
              <w:jc w:val="left"/>
            </w:pPr>
            <w:r>
              <w:rPr>
                <w:rFonts w:ascii="Aptos" w:hAnsi="Aptos"/>
                <w:b w:val="0"/>
                <w:i w:val="0"/>
                <w:color w:val="1F2937"/>
                <w:sz w:val="17"/>
              </w:rPr>
              <w:t>Pressure Shift insight, adaptation recommendation and longitudinal behavioral trends.</w:t>
            </w:r>
          </w:p>
        </w:tc>
      </w:tr>
    </w:tbl>
    <w:p>
      <w:pPr>
        <w:spacing w:after="0"/>
      </w:pPr>
    </w:p>
    <w:tbl>
      <w:tblPr>
        <w:tblW w:type="auto" w:w="0"/>
        <w:jc w:val="left"/>
        <w:tblLayout w:type="fixed"/>
        <w:tblLook w:firstColumn="1" w:firstRow="1" w:lastColumn="0" w:lastRow="0" w:noHBand="0" w:noVBand="1" w:val="04A0"/>
      </w:tblPr>
      <w:tblGrid>
        <w:gridCol w:w="9360"/>
      </w:tblGrid>
      <w:tr>
        <w:tc>
          <w:tcPr>
            <w:tcW w:type="dxa" w:w="9360"/>
            <w:shd w:fill="FFF5E5"/>
          </w:tcPr>
          <w:p>
            <w:pPr>
              <w:spacing w:after="60"/>
            </w:pPr>
            <w:r>
              <w:rPr>
                <w:rFonts w:ascii="Aptos" w:hAnsi="Aptos"/>
                <w:b/>
                <w:i w:val="0"/>
                <w:color w:val="C58B2A"/>
                <w:sz w:val="18"/>
              </w:rPr>
              <w:t>KEY LIMITATION</w:t>
            </w:r>
          </w:p>
          <w:p>
            <w:pPr>
              <w:spacing w:after="60"/>
            </w:pPr>
            <w:r>
              <w:rPr>
                <w:rFonts w:ascii="Aptos" w:hAnsi="Aptos"/>
                <w:b/>
                <w:i w:val="0"/>
                <w:color w:val="17324D"/>
                <w:sz w:val="22"/>
              </w:rPr>
              <w:t>The quick live outcome is useful for practice feedback, but it is not a validated measure of field performance. Calibrate it against expert reviewers before using it for manager decisions.</w:t>
            </w:r>
          </w:p>
        </w:tc>
      </w:tr>
    </w:tbl>
    <w:p>
      <w:pPr>
        <w:spacing w:after="0"/>
      </w:pPr>
    </w:p>
    <w:p>
      <w:r>
        <w:br w:type="page"/>
      </w:r>
    </w:p>
    <w:p>
      <w:pPr>
        <w:pStyle w:val="Heading1"/>
        <w:keepNext/>
      </w:pPr>
      <w:r>
        <w:rPr>
          <w:rFonts w:ascii="Aptos" w:hAnsi="Aptos"/>
          <w:b/>
          <w:i w:val="0"/>
          <w:color w:val="2E74B5"/>
          <w:sz w:val="32"/>
        </w:rPr>
        <w:t>2. Human live roleplay</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448"/>
            <w:shd w:fill="17324D"/>
            <w:vAlign w:val="center"/>
          </w:tcPr>
          <w:p>
            <w:pPr>
              <w:spacing w:after="0"/>
              <w:jc w:val="left"/>
            </w:pPr>
            <w:r>
              <w:rPr>
                <w:rFonts w:ascii="Aptos" w:hAnsi="Aptos"/>
                <w:b/>
                <w:i w:val="0"/>
                <w:color w:val="FFFFFF"/>
                <w:sz w:val="18"/>
              </w:rPr>
              <w:t>Dimension</w:t>
            </w:r>
          </w:p>
        </w:tc>
        <w:tc>
          <w:tcPr>
            <w:tcW w:type="dxa" w:w="1224"/>
            <w:shd w:fill="17324D"/>
            <w:vAlign w:val="center"/>
          </w:tcPr>
          <w:p>
            <w:pPr>
              <w:spacing w:after="0"/>
              <w:jc w:val="left"/>
            </w:pPr>
            <w:r>
              <w:rPr>
                <w:rFonts w:ascii="Aptos" w:hAnsi="Aptos"/>
                <w:b/>
                <w:i w:val="0"/>
                <w:color w:val="FFFFFF"/>
                <w:sz w:val="18"/>
              </w:rPr>
              <w:t>Score</w:t>
            </w:r>
          </w:p>
        </w:tc>
        <w:tc>
          <w:tcPr>
            <w:tcW w:type="dxa" w:w="5688"/>
            <w:shd w:fill="17324D"/>
            <w:vAlign w:val="center"/>
          </w:tcPr>
          <w:p>
            <w:pPr>
              <w:spacing w:after="0"/>
              <w:jc w:val="left"/>
            </w:pPr>
            <w:r>
              <w:rPr>
                <w:rFonts w:ascii="Aptos" w:hAnsi="Aptos"/>
                <w:b/>
                <w:i w:val="0"/>
                <w:color w:val="FFFFFF"/>
                <w:sz w:val="18"/>
              </w:rPr>
              <w:t>Evidence-based assessment</w:t>
            </w:r>
          </w:p>
        </w:tc>
      </w:tr>
      <w:tr>
        <w:tc>
          <w:tcPr>
            <w:tcW w:type="dxa" w:w="2448"/>
            <w:shd w:fill="FFFFFF"/>
            <w:vAlign w:val="center"/>
          </w:tcPr>
          <w:p>
            <w:pPr>
              <w:spacing w:after="0"/>
              <w:jc w:val="left"/>
            </w:pPr>
            <w:r>
              <w:rPr>
                <w:rFonts w:ascii="Aptos" w:hAnsi="Aptos"/>
                <w:b w:val="0"/>
                <w:i w:val="0"/>
                <w:color w:val="1F2937"/>
                <w:sz w:val="17"/>
              </w:rPr>
              <w:t>Acoustic measurement</w:t>
            </w:r>
          </w:p>
        </w:tc>
        <w:tc>
          <w:tcPr>
            <w:tcW w:type="dxa" w:w="1224"/>
            <w:shd w:fill="FFFFFF"/>
            <w:vAlign w:val="center"/>
          </w:tcPr>
          <w:p>
            <w:pPr>
              <w:spacing w:after="0"/>
              <w:jc w:val="left"/>
            </w:pPr>
            <w:r>
              <w:rPr>
                <w:rFonts w:ascii="Aptos" w:hAnsi="Aptos"/>
                <w:b w:val="0"/>
                <w:i w:val="0"/>
                <w:color w:val="1F2937"/>
                <w:sz w:val="17"/>
              </w:rPr>
              <w:t>8.5</w:t>
            </w:r>
          </w:p>
        </w:tc>
        <w:tc>
          <w:tcPr>
            <w:tcW w:type="dxa" w:w="5688"/>
            <w:shd w:fill="FFFFFF"/>
            <w:vAlign w:val="center"/>
          </w:tcPr>
          <w:p>
            <w:pPr>
              <w:spacing w:after="0"/>
              <w:jc w:val="left"/>
            </w:pPr>
            <w:r>
              <w:rPr>
                <w:rFonts w:ascii="Aptos" w:hAnsi="Aptos"/>
                <w:b w:val="0"/>
                <w:i w:val="0"/>
                <w:color w:val="1F2937"/>
                <w:sz w:val="17"/>
              </w:rPr>
              <w:t>Pace, pitch range, volume, fillers, hesitation and fluency are extracted.</w:t>
            </w:r>
          </w:p>
        </w:tc>
      </w:tr>
      <w:tr>
        <w:tc>
          <w:tcPr>
            <w:tcW w:type="dxa" w:w="2448"/>
            <w:shd w:fill="F8FAFC"/>
            <w:vAlign w:val="center"/>
          </w:tcPr>
          <w:p>
            <w:pPr>
              <w:spacing w:after="0"/>
              <w:jc w:val="left"/>
            </w:pPr>
            <w:r>
              <w:rPr>
                <w:rFonts w:ascii="Aptos" w:hAnsi="Aptos"/>
                <w:b w:val="0"/>
                <w:i w:val="0"/>
                <w:color w:val="1F2937"/>
                <w:sz w:val="17"/>
              </w:rPr>
              <w:t>Turn-taking</w:t>
            </w:r>
          </w:p>
        </w:tc>
        <w:tc>
          <w:tcPr>
            <w:tcW w:type="dxa" w:w="1224"/>
            <w:shd w:fill="F8FAFC"/>
            <w:vAlign w:val="center"/>
          </w:tcPr>
          <w:p>
            <w:pPr>
              <w:spacing w:after="0"/>
              <w:jc w:val="left"/>
            </w:pPr>
            <w:r>
              <w:rPr>
                <w:rFonts w:ascii="Aptos" w:hAnsi="Aptos"/>
                <w:b w:val="0"/>
                <w:i w:val="0"/>
                <w:color w:val="1F2937"/>
                <w:sz w:val="17"/>
              </w:rPr>
              <w:t>8.5</w:t>
            </w:r>
          </w:p>
        </w:tc>
        <w:tc>
          <w:tcPr>
            <w:tcW w:type="dxa" w:w="5688"/>
            <w:shd w:fill="F8FAFC"/>
            <w:vAlign w:val="center"/>
          </w:tcPr>
          <w:p>
            <w:pPr>
              <w:spacing w:after="0"/>
              <w:jc w:val="left"/>
            </w:pPr>
            <w:r>
              <w:rPr>
                <w:rFonts w:ascii="Aptos" w:hAnsi="Aptos"/>
                <w:b w:val="0"/>
                <w:i w:val="0"/>
                <w:color w:val="1F2937"/>
                <w:sz w:val="17"/>
              </w:rPr>
              <w:t>Talk ratio and rapid turn switches provide useful interruption proxies.</w:t>
            </w:r>
          </w:p>
        </w:tc>
      </w:tr>
      <w:tr>
        <w:tc>
          <w:tcPr>
            <w:tcW w:type="dxa" w:w="2448"/>
            <w:shd w:fill="FFFFFF"/>
            <w:vAlign w:val="center"/>
          </w:tcPr>
          <w:p>
            <w:pPr>
              <w:spacing w:after="0"/>
              <w:jc w:val="left"/>
            </w:pPr>
            <w:r>
              <w:rPr>
                <w:rFonts w:ascii="Aptos" w:hAnsi="Aptos"/>
                <w:b w:val="0"/>
                <w:i w:val="0"/>
                <w:color w:val="1F2937"/>
                <w:sz w:val="17"/>
              </w:rPr>
              <w:t>Question quality</w:t>
            </w:r>
          </w:p>
        </w:tc>
        <w:tc>
          <w:tcPr>
            <w:tcW w:type="dxa" w:w="1224"/>
            <w:shd w:fill="FFFFFF"/>
            <w:vAlign w:val="center"/>
          </w:tcPr>
          <w:p>
            <w:pPr>
              <w:spacing w:after="0"/>
              <w:jc w:val="left"/>
            </w:pPr>
            <w:r>
              <w:rPr>
                <w:rFonts w:ascii="Aptos" w:hAnsi="Aptos"/>
                <w:b w:val="0"/>
                <w:i w:val="0"/>
                <w:color w:val="1F2937"/>
                <w:sz w:val="17"/>
              </w:rPr>
              <w:t>8.0</w:t>
            </w:r>
          </w:p>
        </w:tc>
        <w:tc>
          <w:tcPr>
            <w:tcW w:type="dxa" w:w="5688"/>
            <w:shd w:fill="FFFFFF"/>
            <w:vAlign w:val="center"/>
          </w:tcPr>
          <w:p>
            <w:pPr>
              <w:spacing w:after="0"/>
              <w:jc w:val="left"/>
            </w:pPr>
            <w:r>
              <w:rPr>
                <w:rFonts w:ascii="Aptos" w:hAnsi="Aptos"/>
                <w:b w:val="0"/>
                <w:i w:val="0"/>
                <w:color w:val="1F2937"/>
                <w:sz w:val="17"/>
              </w:rPr>
              <w:t>Total, open and closed questions are separated.</w:t>
            </w:r>
          </w:p>
        </w:tc>
      </w:tr>
      <w:tr>
        <w:tc>
          <w:tcPr>
            <w:tcW w:type="dxa" w:w="2448"/>
            <w:shd w:fill="F8FAFC"/>
            <w:vAlign w:val="center"/>
          </w:tcPr>
          <w:p>
            <w:pPr>
              <w:spacing w:after="0"/>
              <w:jc w:val="left"/>
            </w:pPr>
            <w:r>
              <w:rPr>
                <w:rFonts w:ascii="Aptos" w:hAnsi="Aptos"/>
                <w:b w:val="0"/>
                <w:i w:val="0"/>
                <w:color w:val="1F2937"/>
                <w:sz w:val="17"/>
              </w:rPr>
              <w:t>Active listening</w:t>
            </w:r>
          </w:p>
        </w:tc>
        <w:tc>
          <w:tcPr>
            <w:tcW w:type="dxa" w:w="1224"/>
            <w:shd w:fill="F8FAFC"/>
            <w:vAlign w:val="center"/>
          </w:tcPr>
          <w:p>
            <w:pPr>
              <w:spacing w:after="0"/>
              <w:jc w:val="left"/>
            </w:pPr>
            <w:r>
              <w:rPr>
                <w:rFonts w:ascii="Aptos" w:hAnsi="Aptos"/>
                <w:b w:val="0"/>
                <w:i w:val="0"/>
                <w:color w:val="1F2937"/>
                <w:sz w:val="17"/>
              </w:rPr>
              <w:t>8.5</w:t>
            </w:r>
          </w:p>
        </w:tc>
        <w:tc>
          <w:tcPr>
            <w:tcW w:type="dxa" w:w="5688"/>
            <w:shd w:fill="F8FAFC"/>
            <w:vAlign w:val="center"/>
          </w:tcPr>
          <w:p>
            <w:pPr>
              <w:spacing w:after="0"/>
              <w:jc w:val="left"/>
            </w:pPr>
            <w:r>
              <w:rPr>
                <w:rFonts w:ascii="Aptos" w:hAnsi="Aptos"/>
                <w:b w:val="0"/>
                <w:i w:val="0"/>
                <w:color w:val="1F2937"/>
                <w:sz w:val="17"/>
              </w:rPr>
              <w:t>Composite score uses talk balance 35%, interruption behavior 25%, paraphrase 40%.</w:t>
            </w:r>
          </w:p>
        </w:tc>
      </w:tr>
      <w:tr>
        <w:tc>
          <w:tcPr>
            <w:tcW w:type="dxa" w:w="2448"/>
            <w:shd w:fill="FFFFFF"/>
            <w:vAlign w:val="center"/>
          </w:tcPr>
          <w:p>
            <w:pPr>
              <w:spacing w:after="0"/>
              <w:jc w:val="left"/>
            </w:pPr>
            <w:r>
              <w:rPr>
                <w:rFonts w:ascii="Aptos" w:hAnsi="Aptos"/>
                <w:b w:val="0"/>
                <w:i w:val="0"/>
                <w:color w:val="1F2937"/>
                <w:sz w:val="17"/>
              </w:rPr>
              <w:t>Social-style inference</w:t>
            </w:r>
          </w:p>
        </w:tc>
        <w:tc>
          <w:tcPr>
            <w:tcW w:type="dxa" w:w="1224"/>
            <w:shd w:fill="FFFFFF"/>
            <w:vAlign w:val="center"/>
          </w:tcPr>
          <w:p>
            <w:pPr>
              <w:spacing w:after="0"/>
              <w:jc w:val="left"/>
            </w:pPr>
            <w:r>
              <w:rPr>
                <w:rFonts w:ascii="Aptos" w:hAnsi="Aptos"/>
                <w:b w:val="0"/>
                <w:i w:val="0"/>
                <w:color w:val="1F2937"/>
                <w:sz w:val="17"/>
              </w:rPr>
              <w:t>7.5</w:t>
            </w:r>
          </w:p>
        </w:tc>
        <w:tc>
          <w:tcPr>
            <w:tcW w:type="dxa" w:w="5688"/>
            <w:shd w:fill="FFFFFF"/>
            <w:vAlign w:val="center"/>
          </w:tcPr>
          <w:p>
            <w:pPr>
              <w:spacing w:after="0"/>
              <w:jc w:val="left"/>
            </w:pPr>
            <w:r>
              <w:rPr>
                <w:rFonts w:ascii="Aptos" w:hAnsi="Aptos"/>
                <w:b w:val="0"/>
                <w:i w:val="0"/>
                <w:color w:val="1F2937"/>
                <w:sz w:val="17"/>
              </w:rPr>
              <w:t>Rep and partner styles are inferred from acoustic signatures.</w:t>
            </w:r>
          </w:p>
        </w:tc>
      </w:tr>
      <w:tr>
        <w:tc>
          <w:tcPr>
            <w:tcW w:type="dxa" w:w="2448"/>
            <w:shd w:fill="F8FAFC"/>
            <w:vAlign w:val="center"/>
          </w:tcPr>
          <w:p>
            <w:pPr>
              <w:spacing w:after="0"/>
              <w:jc w:val="left"/>
            </w:pPr>
            <w:r>
              <w:rPr>
                <w:rFonts w:ascii="Aptos" w:hAnsi="Aptos"/>
                <w:b w:val="0"/>
                <w:i w:val="0"/>
                <w:color w:val="1F2937"/>
                <w:sz w:val="17"/>
              </w:rPr>
              <w:t>Adaptation</w:t>
            </w:r>
          </w:p>
        </w:tc>
        <w:tc>
          <w:tcPr>
            <w:tcW w:type="dxa" w:w="1224"/>
            <w:shd w:fill="F8FAFC"/>
            <w:vAlign w:val="center"/>
          </w:tcPr>
          <w:p>
            <w:pPr>
              <w:spacing w:after="0"/>
              <w:jc w:val="left"/>
            </w:pPr>
            <w:r>
              <w:rPr>
                <w:rFonts w:ascii="Aptos" w:hAnsi="Aptos"/>
                <w:b w:val="0"/>
                <w:i w:val="0"/>
                <w:color w:val="1F2937"/>
                <w:sz w:val="17"/>
              </w:rPr>
              <w:t>8.0</w:t>
            </w:r>
          </w:p>
        </w:tc>
        <w:tc>
          <w:tcPr>
            <w:tcW w:type="dxa" w:w="5688"/>
            <w:shd w:fill="F8FAFC"/>
            <w:vAlign w:val="center"/>
          </w:tcPr>
          <w:p>
            <w:pPr>
              <w:spacing w:after="0"/>
              <w:jc w:val="left"/>
            </w:pPr>
            <w:r>
              <w:rPr>
                <w:rFonts w:ascii="Aptos" w:hAnsi="Aptos"/>
                <w:b w:val="0"/>
                <w:i w:val="0"/>
                <w:color w:val="1F2937"/>
                <w:sz w:val="17"/>
              </w:rPr>
              <w:t>Rep behavior is compared with the partner's inferred style.</w:t>
            </w:r>
          </w:p>
        </w:tc>
      </w:tr>
      <w:tr>
        <w:tc>
          <w:tcPr>
            <w:tcW w:type="dxa" w:w="2448"/>
            <w:shd w:fill="FFFFFF"/>
            <w:vAlign w:val="center"/>
          </w:tcPr>
          <w:p>
            <w:pPr>
              <w:spacing w:after="0"/>
              <w:jc w:val="left"/>
            </w:pPr>
            <w:r>
              <w:rPr>
                <w:rFonts w:ascii="Aptos" w:hAnsi="Aptos"/>
                <w:b w:val="0"/>
                <w:i w:val="0"/>
                <w:color w:val="1F2937"/>
                <w:sz w:val="17"/>
              </w:rPr>
              <w:t>Longitudinal tracking</w:t>
            </w:r>
          </w:p>
        </w:tc>
        <w:tc>
          <w:tcPr>
            <w:tcW w:type="dxa" w:w="1224"/>
            <w:shd w:fill="FFFFFF"/>
            <w:vAlign w:val="center"/>
          </w:tcPr>
          <w:p>
            <w:pPr>
              <w:spacing w:after="0"/>
              <w:jc w:val="left"/>
            </w:pPr>
            <w:r>
              <w:rPr>
                <w:rFonts w:ascii="Aptos" w:hAnsi="Aptos"/>
                <w:b w:val="0"/>
                <w:i w:val="0"/>
                <w:color w:val="1F2937"/>
                <w:sz w:val="17"/>
              </w:rPr>
              <w:t>7.5</w:t>
            </w:r>
          </w:p>
        </w:tc>
        <w:tc>
          <w:tcPr>
            <w:tcW w:type="dxa" w:w="5688"/>
            <w:shd w:fill="FFFFFF"/>
            <w:vAlign w:val="center"/>
          </w:tcPr>
          <w:p>
            <w:pPr>
              <w:spacing w:after="0"/>
              <w:jc w:val="left"/>
            </w:pPr>
            <w:r>
              <w:rPr>
                <w:rFonts w:ascii="Aptos" w:hAnsi="Aptos"/>
                <w:b w:val="0"/>
                <w:i w:val="0"/>
                <w:color w:val="1F2937"/>
                <w:sz w:val="17"/>
              </w:rPr>
              <w:t>Averages and improving/declining trends use a five-point movement threshold.</w:t>
            </w:r>
          </w:p>
        </w:tc>
      </w:tr>
      <w:tr>
        <w:tc>
          <w:tcPr>
            <w:tcW w:type="dxa" w:w="2448"/>
            <w:shd w:fill="F8FAFC"/>
            <w:vAlign w:val="center"/>
          </w:tcPr>
          <w:p>
            <w:pPr>
              <w:spacing w:after="0"/>
              <w:jc w:val="left"/>
            </w:pPr>
            <w:r>
              <w:rPr>
                <w:rFonts w:ascii="Aptos" w:hAnsi="Aptos"/>
                <w:b w:val="0"/>
                <w:i w:val="0"/>
                <w:color w:val="1F2937"/>
                <w:sz w:val="17"/>
              </w:rPr>
              <w:t>Feedback usefulness</w:t>
            </w:r>
          </w:p>
        </w:tc>
        <w:tc>
          <w:tcPr>
            <w:tcW w:type="dxa" w:w="1224"/>
            <w:shd w:fill="F8FAFC"/>
            <w:vAlign w:val="center"/>
          </w:tcPr>
          <w:p>
            <w:pPr>
              <w:spacing w:after="0"/>
              <w:jc w:val="left"/>
            </w:pPr>
            <w:r>
              <w:rPr>
                <w:rFonts w:ascii="Aptos" w:hAnsi="Aptos"/>
                <w:b w:val="0"/>
                <w:i w:val="0"/>
                <w:color w:val="1F2937"/>
                <w:sz w:val="17"/>
              </w:rPr>
              <w:t>8.0</w:t>
            </w:r>
          </w:p>
        </w:tc>
        <w:tc>
          <w:tcPr>
            <w:tcW w:type="dxa" w:w="5688"/>
            <w:shd w:fill="F8FAFC"/>
            <w:vAlign w:val="center"/>
          </w:tcPr>
          <w:p>
            <w:pPr>
              <w:spacing w:after="0"/>
              <w:jc w:val="left"/>
            </w:pPr>
            <w:r>
              <w:rPr>
                <w:rFonts w:ascii="Aptos" w:hAnsi="Aptos"/>
                <w:b w:val="0"/>
                <w:i w:val="0"/>
                <w:color w:val="1F2937"/>
                <w:sz w:val="17"/>
              </w:rPr>
              <w:t>Feedback is behavior-oriented rather than only pass/fail.</w:t>
            </w:r>
          </w:p>
        </w:tc>
      </w:tr>
      <w:tr>
        <w:tc>
          <w:tcPr>
            <w:tcW w:type="dxa" w:w="2448"/>
            <w:shd w:fill="FFFFFF"/>
            <w:vAlign w:val="center"/>
          </w:tcPr>
          <w:p>
            <w:pPr>
              <w:spacing w:after="0"/>
              <w:jc w:val="left"/>
            </w:pPr>
            <w:r>
              <w:rPr>
                <w:rFonts w:ascii="Aptos" w:hAnsi="Aptos"/>
                <w:b w:val="0"/>
                <w:i w:val="0"/>
                <w:color w:val="1F2937"/>
                <w:sz w:val="17"/>
              </w:rPr>
              <w:t>Measurement validity</w:t>
            </w:r>
          </w:p>
        </w:tc>
        <w:tc>
          <w:tcPr>
            <w:tcW w:type="dxa" w:w="1224"/>
            <w:shd w:fill="FFFFFF"/>
            <w:vAlign w:val="center"/>
          </w:tcPr>
          <w:p>
            <w:pPr>
              <w:spacing w:after="0"/>
              <w:jc w:val="left"/>
            </w:pPr>
            <w:r>
              <w:rPr>
                <w:rFonts w:ascii="Aptos" w:hAnsi="Aptos"/>
                <w:b w:val="0"/>
                <w:i w:val="0"/>
                <w:color w:val="1F2937"/>
                <w:sz w:val="17"/>
              </w:rPr>
              <w:t>6.5</w:t>
            </w:r>
          </w:p>
        </w:tc>
        <w:tc>
          <w:tcPr>
            <w:tcW w:type="dxa" w:w="5688"/>
            <w:shd w:fill="FFFFFF"/>
            <w:vAlign w:val="center"/>
          </w:tcPr>
          <w:p>
            <w:pPr>
              <w:spacing w:after="0"/>
              <w:jc w:val="left"/>
            </w:pPr>
            <w:r>
              <w:rPr>
                <w:rFonts w:ascii="Aptos" w:hAnsi="Aptos"/>
                <w:b w:val="0"/>
                <w:i w:val="0"/>
                <w:color w:val="1F2937"/>
                <w:sz w:val="17"/>
              </w:rPr>
              <w:t>Metrics are sensible proxies but are not calibrated against expert human ratings.</w:t>
            </w:r>
          </w:p>
        </w:tc>
      </w:tr>
      <w:tr>
        <w:tc>
          <w:tcPr>
            <w:tcW w:type="dxa" w:w="2448"/>
            <w:shd w:fill="F8FAFC"/>
            <w:vAlign w:val="center"/>
          </w:tcPr>
          <w:p>
            <w:pPr>
              <w:spacing w:after="0"/>
              <w:jc w:val="left"/>
            </w:pPr>
            <w:r>
              <w:rPr>
                <w:rFonts w:ascii="Aptos" w:hAnsi="Aptos"/>
                <w:b w:val="0"/>
                <w:i w:val="0"/>
                <w:color w:val="1F2937"/>
                <w:sz w:val="17"/>
              </w:rPr>
              <w:t>Realtime experience</w:t>
            </w:r>
          </w:p>
        </w:tc>
        <w:tc>
          <w:tcPr>
            <w:tcW w:type="dxa" w:w="1224"/>
            <w:shd w:fill="F8FAFC"/>
            <w:vAlign w:val="center"/>
          </w:tcPr>
          <w:p>
            <w:pPr>
              <w:spacing w:after="0"/>
              <w:jc w:val="left"/>
            </w:pPr>
            <w:r>
              <w:rPr>
                <w:rFonts w:ascii="Aptos" w:hAnsi="Aptos"/>
                <w:b w:val="0"/>
                <w:i w:val="0"/>
                <w:color w:val="1F2937"/>
                <w:sz w:val="17"/>
              </w:rPr>
              <w:t>6.0</w:t>
            </w:r>
          </w:p>
        </w:tc>
        <w:tc>
          <w:tcPr>
            <w:tcW w:type="dxa" w:w="5688"/>
            <w:shd w:fill="F8FAFC"/>
            <w:vAlign w:val="center"/>
          </w:tcPr>
          <w:p>
            <w:pPr>
              <w:spacing w:after="0"/>
              <w:jc w:val="left"/>
            </w:pPr>
            <w:r>
              <w:rPr>
                <w:rFonts w:ascii="Aptos" w:hAnsi="Aptos"/>
                <w:b w:val="0"/>
                <w:i w:val="0"/>
                <w:color w:val="1F2937"/>
                <w:sz w:val="17"/>
              </w:rPr>
              <w:t>Current path is recording-led; it is not continuous barge-in conversation.</w:t>
            </w:r>
          </w:p>
        </w:tc>
      </w:tr>
    </w:tbl>
    <w:p>
      <w:pPr>
        <w:spacing w:after="0"/>
      </w:pPr>
    </w:p>
    <w:p>
      <w:pPr>
        <w:pStyle w:val="Heading2"/>
        <w:keepNext/>
      </w:pPr>
      <w:r>
        <w:rPr>
          <w:rFonts w:ascii="Aptos" w:hAnsi="Aptos"/>
          <w:b/>
          <w:i w:val="0"/>
          <w:color w:val="2E74B5"/>
          <w:sz w:val="26"/>
        </w:rPr>
        <w:t>Human roleplay measurement model</w:t>
      </w:r>
    </w:p>
    <w:p>
      <w:pPr>
        <w:pStyle w:val="ListBullet"/>
        <w:spacing w:after="60"/>
        <w:ind w:left="720" w:hanging="360"/>
      </w:pPr>
      <w:r>
        <w:rPr>
          <w:rFonts w:ascii="Aptos" w:hAnsi="Aptos"/>
          <w:b w:val="0"/>
          <w:i w:val="0"/>
          <w:color w:val="1F2937"/>
          <w:sz w:val="20"/>
        </w:rPr>
        <w:t>Talk ratio: the rep's share of total speaking time.</w:t>
      </w:r>
    </w:p>
    <w:p>
      <w:pPr>
        <w:pStyle w:val="ListBullet"/>
        <w:spacing w:after="60"/>
        <w:ind w:left="720" w:hanging="360"/>
      </w:pPr>
      <w:r>
        <w:rPr>
          <w:rFonts w:ascii="Aptos" w:hAnsi="Aptos"/>
          <w:b w:val="0"/>
          <w:i w:val="0"/>
          <w:color w:val="1F2937"/>
          <w:sz w:val="20"/>
        </w:rPr>
        <w:t>Question ratio and open-question ratio.</w:t>
      </w:r>
    </w:p>
    <w:p>
      <w:pPr>
        <w:pStyle w:val="ListBullet"/>
        <w:spacing w:after="60"/>
        <w:ind w:left="720" w:hanging="360"/>
      </w:pPr>
      <w:r>
        <w:rPr>
          <w:rFonts w:ascii="Aptos" w:hAnsi="Aptos"/>
          <w:b w:val="0"/>
          <w:i w:val="0"/>
          <w:color w:val="1F2937"/>
          <w:sz w:val="20"/>
        </w:rPr>
        <w:t>Paraphrase score based on content-word overlap with the preceding partner turn.</w:t>
      </w:r>
    </w:p>
    <w:p>
      <w:pPr>
        <w:pStyle w:val="ListBullet"/>
        <w:spacing w:after="60"/>
        <w:ind w:left="720" w:hanging="360"/>
      </w:pPr>
      <w:r>
        <w:rPr>
          <w:rFonts w:ascii="Aptos" w:hAnsi="Aptos"/>
          <w:b w:val="0"/>
          <w:i w:val="0"/>
          <w:color w:val="1F2937"/>
          <w:sz w:val="20"/>
        </w:rPr>
        <w:t>Active listening score from talk balance, rapid turn switches and paraphrase evidence.</w:t>
      </w:r>
    </w:p>
    <w:p>
      <w:pPr>
        <w:pStyle w:val="ListBullet"/>
        <w:spacing w:after="60"/>
        <w:ind w:left="720" w:hanging="360"/>
      </w:pPr>
      <w:r>
        <w:rPr>
          <w:rFonts w:ascii="Aptos" w:hAnsi="Aptos"/>
          <w:b w:val="0"/>
          <w:i w:val="0"/>
          <w:color w:val="1F2937"/>
          <w:sz w:val="20"/>
        </w:rPr>
        <w:t>Rep and partner social-style reads, plus a 0–100 adaptation score.</w:t>
      </w:r>
    </w:p>
    <w:p>
      <w:pPr>
        <w:pStyle w:val="ListBullet"/>
        <w:spacing w:after="60"/>
        <w:ind w:left="720" w:hanging="360"/>
      </w:pPr>
      <w:r>
        <w:rPr>
          <w:rFonts w:ascii="Aptos" w:hAnsi="Aptos"/>
          <w:b w:val="0"/>
          <w:i w:val="0"/>
          <w:color w:val="1F2937"/>
          <w:sz w:val="20"/>
        </w:rPr>
        <w:t>History averages and trend direction across repeated sessions.</w:t>
      </w:r>
    </w:p>
    <w:tbl>
      <w:tblPr>
        <w:tblW w:type="auto" w:w="0"/>
        <w:jc w:val="left"/>
        <w:tblLayout w:type="fixed"/>
        <w:tblLook w:firstColumn="1" w:firstRow="1" w:lastColumn="0" w:lastRow="0" w:noHBand="0" w:noVBand="1" w:val="04A0"/>
      </w:tblPr>
      <w:tblGrid>
        <w:gridCol w:w="9360"/>
      </w:tblGrid>
      <w:tr>
        <w:tc>
          <w:tcPr>
            <w:tcW w:type="dxa" w:w="9360"/>
            <w:shd w:fill="EAF3F5"/>
          </w:tcPr>
          <w:p>
            <w:pPr>
              <w:spacing w:after="60"/>
            </w:pPr>
            <w:r>
              <w:rPr>
                <w:rFonts w:ascii="Aptos" w:hAnsi="Aptos"/>
                <w:b/>
                <w:i w:val="0"/>
                <w:color w:val="118A8A"/>
                <w:sz w:val="18"/>
              </w:rPr>
              <w:t>INTERPRETATION RULE</w:t>
            </w:r>
          </w:p>
          <w:p>
            <w:pPr>
              <w:spacing w:after="60"/>
            </w:pPr>
            <w:r>
              <w:rPr>
                <w:rFonts w:ascii="Aptos" w:hAnsi="Aptos"/>
                <w:b/>
                <w:i w:val="0"/>
                <w:color w:val="17324D"/>
                <w:sz w:val="22"/>
              </w:rPr>
              <w:t>A high score means the measured behavior matched the model's target. It does not prove that the rep was clinically correct, persuasive in the field, or effective with every doctor.</w:t>
            </w:r>
          </w:p>
        </w:tc>
      </w:tr>
    </w:tbl>
    <w:p>
      <w:pPr>
        <w:spacing w:after="0"/>
      </w:pPr>
    </w:p>
    <w:p>
      <w:r>
        <w:br w:type="page"/>
      </w:r>
    </w:p>
    <w:p>
      <w:pPr>
        <w:pStyle w:val="Heading1"/>
        <w:keepNext/>
      </w:pPr>
      <w:r>
        <w:rPr>
          <w:rFonts w:ascii="Aptos" w:hAnsi="Aptos"/>
          <w:b/>
          <w:i w:val="0"/>
          <w:color w:val="2E74B5"/>
          <w:sz w:val="32"/>
        </w:rPr>
        <w:t>3. Realtime Pipecat readiness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232"/>
            <w:shd w:fill="17324D"/>
            <w:vAlign w:val="center"/>
          </w:tcPr>
          <w:p>
            <w:pPr>
              <w:spacing w:after="0"/>
              <w:jc w:val="left"/>
            </w:pPr>
            <w:r>
              <w:rPr>
                <w:rFonts w:ascii="Aptos" w:hAnsi="Aptos"/>
                <w:b/>
                <w:i w:val="0"/>
                <w:color w:val="FFFFFF"/>
                <w:sz w:val="18"/>
              </w:rPr>
              <w:t>Area</w:t>
            </w:r>
          </w:p>
        </w:tc>
        <w:tc>
          <w:tcPr>
            <w:tcW w:type="dxa" w:w="1656"/>
            <w:shd w:fill="17324D"/>
            <w:vAlign w:val="center"/>
          </w:tcPr>
          <w:p>
            <w:pPr>
              <w:spacing w:after="0"/>
              <w:jc w:val="left"/>
            </w:pPr>
            <w:r>
              <w:rPr>
                <w:rFonts w:ascii="Aptos" w:hAnsi="Aptos"/>
                <w:b/>
                <w:i w:val="0"/>
                <w:color w:val="FFFFFF"/>
                <w:sz w:val="18"/>
              </w:rPr>
              <w:t>Status</w:t>
            </w:r>
          </w:p>
        </w:tc>
        <w:tc>
          <w:tcPr>
            <w:tcW w:type="dxa" w:w="5472"/>
            <w:shd w:fill="17324D"/>
            <w:vAlign w:val="center"/>
          </w:tcPr>
          <w:p>
            <w:pPr>
              <w:spacing w:after="0"/>
              <w:jc w:val="left"/>
            </w:pPr>
            <w:r>
              <w:rPr>
                <w:rFonts w:ascii="Aptos" w:hAnsi="Aptos"/>
                <w:b/>
                <w:i w:val="0"/>
                <w:color w:val="FFFFFF"/>
                <w:sz w:val="18"/>
              </w:rPr>
              <w:t>What is ready / what remains</w:t>
            </w:r>
          </w:p>
        </w:tc>
      </w:tr>
      <w:tr>
        <w:tc>
          <w:tcPr>
            <w:tcW w:type="dxa" w:w="2232"/>
            <w:shd w:fill="FFFFFF"/>
            <w:vAlign w:val="center"/>
          </w:tcPr>
          <w:p>
            <w:pPr>
              <w:spacing w:after="0"/>
              <w:jc w:val="left"/>
            </w:pPr>
            <w:r>
              <w:rPr>
                <w:rFonts w:ascii="Aptos" w:hAnsi="Aptos"/>
                <w:b w:val="0"/>
                <w:i w:val="0"/>
                <w:color w:val="1F2937"/>
                <w:sz w:val="17"/>
              </w:rPr>
              <w:t>Agent package</w:t>
            </w:r>
          </w:p>
        </w:tc>
        <w:tc>
          <w:tcPr>
            <w:tcW w:type="dxa" w:w="1656"/>
            <w:shd w:fill="FFFFFF"/>
            <w:vAlign w:val="center"/>
          </w:tcPr>
          <w:p>
            <w:pPr>
              <w:spacing w:after="0"/>
              <w:jc w:val="left"/>
            </w:pPr>
            <w:r>
              <w:rPr>
                <w:rFonts w:ascii="Aptos" w:hAnsi="Aptos"/>
                <w:b w:val="0"/>
                <w:i w:val="0"/>
                <w:color w:val="1F2937"/>
                <w:sz w:val="17"/>
              </w:rPr>
              <w:t>Ready</w:t>
            </w:r>
          </w:p>
        </w:tc>
        <w:tc>
          <w:tcPr>
            <w:tcW w:type="dxa" w:w="5472"/>
            <w:shd w:fill="FFFFFF"/>
            <w:vAlign w:val="center"/>
          </w:tcPr>
          <w:p>
            <w:pPr>
              <w:spacing w:after="0"/>
              <w:jc w:val="left"/>
            </w:pPr>
            <w:r>
              <w:rPr>
                <w:rFonts w:ascii="Aptos" w:hAnsi="Aptos"/>
                <w:b w:val="0"/>
                <w:i w:val="0"/>
                <w:color w:val="1F2937"/>
                <w:sz w:val="17"/>
              </w:rPr>
              <w:t>Python bot, Gemini Live prompt, Iraqi Arabic guidance, English mode, Dockerfile, uv.lock and tests.</w:t>
            </w:r>
          </w:p>
        </w:tc>
      </w:tr>
      <w:tr>
        <w:tc>
          <w:tcPr>
            <w:tcW w:type="dxa" w:w="2232"/>
            <w:shd w:fill="F8FAFC"/>
            <w:vAlign w:val="center"/>
          </w:tcPr>
          <w:p>
            <w:pPr>
              <w:spacing w:after="0"/>
              <w:jc w:val="left"/>
            </w:pPr>
            <w:r>
              <w:rPr>
                <w:rFonts w:ascii="Aptos" w:hAnsi="Aptos"/>
                <w:b w:val="0"/>
                <w:i w:val="0"/>
                <w:color w:val="1F2937"/>
                <w:sz w:val="17"/>
              </w:rPr>
              <w:t>Cloud deployment</w:t>
            </w:r>
          </w:p>
        </w:tc>
        <w:tc>
          <w:tcPr>
            <w:tcW w:type="dxa" w:w="1656"/>
            <w:shd w:fill="F8FAFC"/>
            <w:vAlign w:val="center"/>
          </w:tcPr>
          <w:p>
            <w:pPr>
              <w:spacing w:after="0"/>
              <w:jc w:val="left"/>
            </w:pPr>
            <w:r>
              <w:rPr>
                <w:rFonts w:ascii="Aptos" w:hAnsi="Aptos"/>
                <w:b w:val="0"/>
                <w:i w:val="0"/>
                <w:color w:val="1F2937"/>
                <w:sz w:val="17"/>
              </w:rPr>
              <w:t>Ready for setup</w:t>
            </w:r>
          </w:p>
        </w:tc>
        <w:tc>
          <w:tcPr>
            <w:tcW w:type="dxa" w:w="5472"/>
            <w:shd w:fill="F8FAFC"/>
            <w:vAlign w:val="center"/>
          </w:tcPr>
          <w:p>
            <w:pPr>
              <w:spacing w:after="0"/>
              <w:jc w:val="left"/>
            </w:pPr>
            <w:r>
              <w:rPr>
                <w:rFonts w:ascii="Aptos" w:hAnsi="Aptos"/>
                <w:b w:val="0"/>
                <w:i w:val="0"/>
                <w:color w:val="1F2937"/>
                <w:sz w:val="17"/>
              </w:rPr>
              <w:t>GitHub package pushed; Pipecat Cloud still needs secrets and deployment configuration.</w:t>
            </w:r>
          </w:p>
        </w:tc>
      </w:tr>
      <w:tr>
        <w:tc>
          <w:tcPr>
            <w:tcW w:type="dxa" w:w="2232"/>
            <w:shd w:fill="FFFFFF"/>
            <w:vAlign w:val="center"/>
          </w:tcPr>
          <w:p>
            <w:pPr>
              <w:spacing w:after="0"/>
              <w:jc w:val="left"/>
            </w:pPr>
            <w:r>
              <w:rPr>
                <w:rFonts w:ascii="Aptos" w:hAnsi="Aptos"/>
                <w:b w:val="0"/>
                <w:i w:val="0"/>
                <w:color w:val="1F2937"/>
                <w:sz w:val="17"/>
              </w:rPr>
              <w:t>Doctor context</w:t>
            </w:r>
          </w:p>
        </w:tc>
        <w:tc>
          <w:tcPr>
            <w:tcW w:type="dxa" w:w="1656"/>
            <w:shd w:fill="FFFFFF"/>
            <w:vAlign w:val="center"/>
          </w:tcPr>
          <w:p>
            <w:pPr>
              <w:spacing w:after="0"/>
              <w:jc w:val="left"/>
            </w:pPr>
            <w:r>
              <w:rPr>
                <w:rFonts w:ascii="Aptos" w:hAnsi="Aptos"/>
                <w:b w:val="0"/>
                <w:i w:val="0"/>
                <w:color w:val="1F2937"/>
                <w:sz w:val="17"/>
              </w:rPr>
              <w:t>Ready</w:t>
            </w:r>
          </w:p>
        </w:tc>
        <w:tc>
          <w:tcPr>
            <w:tcW w:type="dxa" w:w="5472"/>
            <w:shd w:fill="FFFFFF"/>
            <w:vAlign w:val="center"/>
          </w:tcPr>
          <w:p>
            <w:pPr>
              <w:spacing w:after="0"/>
              <w:jc w:val="left"/>
            </w:pPr>
            <w:r>
              <w:rPr>
                <w:rFonts w:ascii="Aptos" w:hAnsi="Aptos"/>
                <w:b w:val="0"/>
                <w:i w:val="0"/>
                <w:color w:val="1F2937"/>
                <w:sz w:val="17"/>
              </w:rPr>
              <w:t>Session body accepts language, difficulty and doctor profile fields.</w:t>
            </w:r>
          </w:p>
        </w:tc>
      </w:tr>
      <w:tr>
        <w:tc>
          <w:tcPr>
            <w:tcW w:type="dxa" w:w="2232"/>
            <w:shd w:fill="F8FAFC"/>
            <w:vAlign w:val="center"/>
          </w:tcPr>
          <w:p>
            <w:pPr>
              <w:spacing w:after="0"/>
              <w:jc w:val="left"/>
            </w:pPr>
            <w:r>
              <w:rPr>
                <w:rFonts w:ascii="Aptos" w:hAnsi="Aptos"/>
                <w:b w:val="0"/>
                <w:i w:val="0"/>
                <w:color w:val="1F2937"/>
                <w:sz w:val="17"/>
              </w:rPr>
              <w:t>Daily room start</w:t>
            </w:r>
          </w:p>
        </w:tc>
        <w:tc>
          <w:tcPr>
            <w:tcW w:type="dxa" w:w="1656"/>
            <w:shd w:fill="F8FAFC"/>
            <w:vAlign w:val="center"/>
          </w:tcPr>
          <w:p>
            <w:pPr>
              <w:spacing w:after="0"/>
              <w:jc w:val="left"/>
            </w:pPr>
            <w:r>
              <w:rPr>
                <w:rFonts w:ascii="Aptos" w:hAnsi="Aptos"/>
                <w:b w:val="0"/>
                <w:i w:val="0"/>
                <w:color w:val="1F2937"/>
                <w:sz w:val="17"/>
              </w:rPr>
              <w:t>Partial</w:t>
            </w:r>
          </w:p>
        </w:tc>
        <w:tc>
          <w:tcPr>
            <w:tcW w:type="dxa" w:w="5472"/>
            <w:shd w:fill="F8FAFC"/>
            <w:vAlign w:val="center"/>
          </w:tcPr>
          <w:p>
            <w:pPr>
              <w:spacing w:after="0"/>
              <w:jc w:val="left"/>
            </w:pPr>
            <w:r>
              <w:rPr>
                <w:rFonts w:ascii="Aptos" w:hAnsi="Aptos"/>
                <w:b w:val="0"/>
                <w:i w:val="0"/>
                <w:color w:val="1F2937"/>
                <w:sz w:val="17"/>
              </w:rPr>
              <w:t>StyleShift server endpoint can request a Daily room and token.</w:t>
            </w:r>
          </w:p>
        </w:tc>
      </w:tr>
      <w:tr>
        <w:tc>
          <w:tcPr>
            <w:tcW w:type="dxa" w:w="2232"/>
            <w:shd w:fill="FFFFFF"/>
            <w:vAlign w:val="center"/>
          </w:tcPr>
          <w:p>
            <w:pPr>
              <w:spacing w:after="0"/>
              <w:jc w:val="left"/>
            </w:pPr>
            <w:r>
              <w:rPr>
                <w:rFonts w:ascii="Aptos" w:hAnsi="Aptos"/>
                <w:b w:val="0"/>
                <w:i w:val="0"/>
                <w:color w:val="1F2937"/>
                <w:sz w:val="17"/>
              </w:rPr>
              <w:t>StyleShift UI</w:t>
            </w:r>
          </w:p>
        </w:tc>
        <w:tc>
          <w:tcPr>
            <w:tcW w:type="dxa" w:w="1656"/>
            <w:shd w:fill="FFFFFF"/>
            <w:vAlign w:val="center"/>
          </w:tcPr>
          <w:p>
            <w:pPr>
              <w:spacing w:after="0"/>
              <w:jc w:val="left"/>
            </w:pPr>
            <w:r>
              <w:rPr>
                <w:rFonts w:ascii="Aptos" w:hAnsi="Aptos"/>
                <w:b w:val="0"/>
                <w:i w:val="0"/>
                <w:color w:val="1F2937"/>
                <w:sz w:val="17"/>
              </w:rPr>
              <w:t>Missing</w:t>
            </w:r>
          </w:p>
        </w:tc>
        <w:tc>
          <w:tcPr>
            <w:tcW w:type="dxa" w:w="5472"/>
            <w:shd w:fill="FFFFFF"/>
            <w:vAlign w:val="center"/>
          </w:tcPr>
          <w:p>
            <w:pPr>
              <w:spacing w:after="0"/>
              <w:jc w:val="left"/>
            </w:pPr>
            <w:r>
              <w:rPr>
                <w:rFonts w:ascii="Aptos" w:hAnsi="Aptos"/>
                <w:b w:val="0"/>
                <w:i w:val="0"/>
                <w:color w:val="1F2937"/>
                <w:sz w:val="17"/>
              </w:rPr>
              <w:t>Existing Voice Partner UI still follows the old record/review flow.</w:t>
            </w:r>
          </w:p>
        </w:tc>
      </w:tr>
      <w:tr>
        <w:tc>
          <w:tcPr>
            <w:tcW w:type="dxa" w:w="2232"/>
            <w:shd w:fill="F8FAFC"/>
            <w:vAlign w:val="center"/>
          </w:tcPr>
          <w:p>
            <w:pPr>
              <w:spacing w:after="0"/>
              <w:jc w:val="left"/>
            </w:pPr>
            <w:r>
              <w:rPr>
                <w:rFonts w:ascii="Aptos" w:hAnsi="Aptos"/>
                <w:b w:val="0"/>
                <w:i w:val="0"/>
                <w:color w:val="1F2937"/>
                <w:sz w:val="17"/>
              </w:rPr>
              <w:t>Existing scoring bridge</w:t>
            </w:r>
          </w:p>
        </w:tc>
        <w:tc>
          <w:tcPr>
            <w:tcW w:type="dxa" w:w="1656"/>
            <w:shd w:fill="F8FAFC"/>
            <w:vAlign w:val="center"/>
          </w:tcPr>
          <w:p>
            <w:pPr>
              <w:spacing w:after="0"/>
              <w:jc w:val="left"/>
            </w:pPr>
            <w:r>
              <w:rPr>
                <w:rFonts w:ascii="Aptos" w:hAnsi="Aptos"/>
                <w:b w:val="0"/>
                <w:i w:val="0"/>
                <w:color w:val="1F2937"/>
                <w:sz w:val="17"/>
              </w:rPr>
              <w:t>Missing</w:t>
            </w:r>
          </w:p>
        </w:tc>
        <w:tc>
          <w:tcPr>
            <w:tcW w:type="dxa" w:w="5472"/>
            <w:shd w:fill="F8FAFC"/>
            <w:vAlign w:val="center"/>
          </w:tcPr>
          <w:p>
            <w:pPr>
              <w:spacing w:after="0"/>
              <w:jc w:val="left"/>
            </w:pPr>
            <w:r>
              <w:rPr>
                <w:rFonts w:ascii="Aptos" w:hAnsi="Aptos"/>
                <w:b w:val="0"/>
                <w:i w:val="0"/>
                <w:color w:val="1F2937"/>
                <w:sz w:val="17"/>
              </w:rPr>
              <w:t>Pipecat bot does not yet forward every live transcript turn to StyleShift's judge and scorecard routes.</w:t>
            </w:r>
          </w:p>
        </w:tc>
      </w:tr>
      <w:tr>
        <w:tc>
          <w:tcPr>
            <w:tcW w:type="dxa" w:w="2232"/>
            <w:shd w:fill="FFFFFF"/>
            <w:vAlign w:val="center"/>
          </w:tcPr>
          <w:p>
            <w:pPr>
              <w:spacing w:after="0"/>
              <w:jc w:val="left"/>
            </w:pPr>
            <w:r>
              <w:rPr>
                <w:rFonts w:ascii="Aptos" w:hAnsi="Aptos"/>
                <w:b w:val="0"/>
                <w:i w:val="0"/>
                <w:color w:val="1F2937"/>
                <w:sz w:val="17"/>
              </w:rPr>
              <w:t>Iraqi audio quality</w:t>
            </w:r>
          </w:p>
        </w:tc>
        <w:tc>
          <w:tcPr>
            <w:tcW w:type="dxa" w:w="1656"/>
            <w:shd w:fill="FFFFFF"/>
            <w:vAlign w:val="center"/>
          </w:tcPr>
          <w:p>
            <w:pPr>
              <w:spacing w:after="0"/>
              <w:jc w:val="left"/>
            </w:pPr>
            <w:r>
              <w:rPr>
                <w:rFonts w:ascii="Aptos" w:hAnsi="Aptos"/>
                <w:b w:val="0"/>
                <w:i w:val="0"/>
                <w:color w:val="1F2937"/>
                <w:sz w:val="17"/>
              </w:rPr>
              <w:t>Unverified</w:t>
            </w:r>
          </w:p>
        </w:tc>
        <w:tc>
          <w:tcPr>
            <w:tcW w:type="dxa" w:w="5472"/>
            <w:shd w:fill="FFFFFF"/>
            <w:vAlign w:val="center"/>
          </w:tcPr>
          <w:p>
            <w:pPr>
              <w:spacing w:after="0"/>
              <w:jc w:val="left"/>
            </w:pPr>
            <w:r>
              <w:rPr>
                <w:rFonts w:ascii="Aptos" w:hAnsi="Aptos"/>
                <w:b w:val="0"/>
                <w:i w:val="0"/>
                <w:color w:val="1F2937"/>
                <w:sz w:val="17"/>
              </w:rPr>
              <w:t>Prompt supports Iraqi tone, but real speaker testing has not been completed.</w:t>
            </w:r>
          </w:p>
        </w:tc>
      </w:tr>
    </w:tbl>
    <w:p>
      <w:pPr>
        <w:spacing w:after="0"/>
      </w:pPr>
    </w:p>
    <w:p>
      <w:pPr>
        <w:pStyle w:val="Heading2"/>
        <w:keepNext/>
      </w:pPr>
      <w:r>
        <w:rPr>
          <w:rFonts w:ascii="Aptos" w:hAnsi="Aptos"/>
          <w:b/>
          <w:i w:val="0"/>
          <w:color w:val="2E74B5"/>
          <w:sz w:val="26"/>
        </w:rPr>
        <w:t>Recommended architecture</w:t>
      </w:r>
    </w:p>
    <w:p>
      <w:pPr>
        <w:spacing w:after="120" w:line="264" w:lineRule="auto"/>
      </w:pPr>
      <w:r>
        <w:rPr>
          <w:rFonts w:ascii="Aptos" w:hAnsi="Aptos"/>
          <w:b w:val="0"/>
          <w:i w:val="0"/>
          <w:color w:val="1F2937"/>
          <w:sz w:val="21"/>
        </w:rPr>
        <w:t>Pipecat should own Daily media, microphone handling, speech recognition and speech synthesis. StyleShift should remain the source of truth for doctor behavior, CLEAR-step judgment, outcomes, persisted conversation turns and Deep Analysis. This keeps the realtime layer fast while preserving one scoring system.</w:t>
      </w:r>
    </w:p>
    <w:p>
      <w:pPr>
        <w:spacing w:before="160" w:after="240"/>
        <w:jc w:val="center"/>
      </w:pPr>
      <w:r>
        <w:rPr>
          <w:rFonts w:ascii="Aptos" w:hAnsi="Aptos"/>
          <w:b/>
          <w:i w:val="0"/>
          <w:color w:val="17324D"/>
          <w:sz w:val="22"/>
        </w:rPr>
        <w:t>Pipecat audio layer  →  StyleShift judge and persistence  →  StyleShift transcript, scorecard and coaching</w:t>
      </w:r>
    </w:p>
    <w:p>
      <w:pPr>
        <w:pStyle w:val="Heading2"/>
        <w:keepNext/>
      </w:pPr>
      <w:r>
        <w:rPr>
          <w:rFonts w:ascii="Aptos" w:hAnsi="Aptos"/>
          <w:b/>
          <w:i w:val="0"/>
          <w:color w:val="2E74B5"/>
          <w:sz w:val="26"/>
        </w:rPr>
        <w:t>Quality gates for launch</w:t>
      </w:r>
    </w:p>
    <w:tbl>
      <w:tblPr>
        <w:tblStyle w:val="TableGrid"/>
        <w:tblW w:type="auto" w:w="0"/>
        <w:jc w:val="left"/>
        <w:tblLayout w:type="fixed"/>
        <w:tblLook w:firstColumn="1" w:firstRow="1" w:lastColumn="0" w:lastRow="0" w:noHBand="0" w:noVBand="1" w:val="04A0"/>
      </w:tblPr>
      <w:tblGrid>
        <w:gridCol w:w="4680"/>
        <w:gridCol w:w="4680"/>
      </w:tblGrid>
      <w:tr>
        <w:tc>
          <w:tcPr>
            <w:tcW w:type="dxa" w:w="5040"/>
            <w:shd w:fill="17324D"/>
            <w:vAlign w:val="center"/>
          </w:tcPr>
          <w:p>
            <w:pPr>
              <w:spacing w:after="0"/>
              <w:jc w:val="left"/>
            </w:pPr>
            <w:r>
              <w:rPr>
                <w:rFonts w:ascii="Aptos" w:hAnsi="Aptos"/>
                <w:b/>
                <w:i w:val="0"/>
                <w:color w:val="FFFFFF"/>
                <w:sz w:val="18"/>
              </w:rPr>
              <w:t>Metric</w:t>
            </w:r>
          </w:p>
        </w:tc>
        <w:tc>
          <w:tcPr>
            <w:tcW w:type="dxa" w:w="4320"/>
            <w:shd w:fill="17324D"/>
            <w:vAlign w:val="center"/>
          </w:tcPr>
          <w:p>
            <w:pPr>
              <w:spacing w:after="0"/>
              <w:jc w:val="left"/>
            </w:pPr>
            <w:r>
              <w:rPr>
                <w:rFonts w:ascii="Aptos" w:hAnsi="Aptos"/>
                <w:b/>
                <w:i w:val="0"/>
                <w:color w:val="FFFFFF"/>
                <w:sz w:val="18"/>
              </w:rPr>
              <w:t>Initial target</w:t>
            </w:r>
          </w:p>
        </w:tc>
      </w:tr>
      <w:tr>
        <w:tc>
          <w:tcPr>
            <w:tcW w:type="dxa" w:w="5040"/>
            <w:shd w:fill="FFFFFF"/>
            <w:vAlign w:val="center"/>
          </w:tcPr>
          <w:p>
            <w:pPr>
              <w:spacing w:after="0"/>
              <w:jc w:val="left"/>
            </w:pPr>
            <w:r>
              <w:rPr>
                <w:rFonts w:ascii="Aptos" w:hAnsi="Aptos"/>
                <w:b w:val="0"/>
                <w:i w:val="0"/>
                <w:color w:val="1F2937"/>
                <w:sz w:val="17"/>
              </w:rPr>
              <w:t>Daily join success</w:t>
            </w:r>
          </w:p>
        </w:tc>
        <w:tc>
          <w:tcPr>
            <w:tcW w:type="dxa" w:w="4320"/>
            <w:shd w:fill="FFFFFF"/>
            <w:vAlign w:val="center"/>
          </w:tcPr>
          <w:p>
            <w:pPr>
              <w:spacing w:after="0"/>
              <w:jc w:val="left"/>
            </w:pPr>
            <w:r>
              <w:rPr>
                <w:rFonts w:ascii="Aptos" w:hAnsi="Aptos"/>
                <w:b w:val="0"/>
                <w:i w:val="0"/>
                <w:color w:val="1F2937"/>
                <w:sz w:val="17"/>
              </w:rPr>
              <w:t>≥ 95%</w:t>
            </w:r>
          </w:p>
        </w:tc>
      </w:tr>
      <w:tr>
        <w:tc>
          <w:tcPr>
            <w:tcW w:type="dxa" w:w="5040"/>
            <w:shd w:fill="F8FAFC"/>
            <w:vAlign w:val="center"/>
          </w:tcPr>
          <w:p>
            <w:pPr>
              <w:spacing w:after="0"/>
              <w:jc w:val="left"/>
            </w:pPr>
            <w:r>
              <w:rPr>
                <w:rFonts w:ascii="Aptos" w:hAnsi="Aptos"/>
                <w:b w:val="0"/>
                <w:i w:val="0"/>
                <w:color w:val="1F2937"/>
                <w:sz w:val="17"/>
              </w:rPr>
              <w:t>Normal turn response latency</w:t>
            </w:r>
          </w:p>
        </w:tc>
        <w:tc>
          <w:tcPr>
            <w:tcW w:type="dxa" w:w="4320"/>
            <w:shd w:fill="F8FAFC"/>
            <w:vAlign w:val="center"/>
          </w:tcPr>
          <w:p>
            <w:pPr>
              <w:spacing w:after="0"/>
              <w:jc w:val="left"/>
            </w:pPr>
            <w:r>
              <w:rPr>
                <w:rFonts w:ascii="Aptos" w:hAnsi="Aptos"/>
                <w:b w:val="0"/>
                <w:i w:val="0"/>
                <w:color w:val="1F2937"/>
                <w:sz w:val="17"/>
              </w:rPr>
              <w:t>p95 under 3 seconds</w:t>
            </w:r>
          </w:p>
        </w:tc>
      </w:tr>
      <w:tr>
        <w:tc>
          <w:tcPr>
            <w:tcW w:type="dxa" w:w="5040"/>
            <w:shd w:fill="FFFFFF"/>
            <w:vAlign w:val="center"/>
          </w:tcPr>
          <w:p>
            <w:pPr>
              <w:spacing w:after="0"/>
              <w:jc w:val="left"/>
            </w:pPr>
            <w:r>
              <w:rPr>
                <w:rFonts w:ascii="Aptos" w:hAnsi="Aptos"/>
                <w:b w:val="0"/>
                <w:i w:val="0"/>
                <w:color w:val="1F2937"/>
                <w:sz w:val="17"/>
              </w:rPr>
              <w:t>Failed turns</w:t>
            </w:r>
          </w:p>
        </w:tc>
        <w:tc>
          <w:tcPr>
            <w:tcW w:type="dxa" w:w="4320"/>
            <w:shd w:fill="FFFFFF"/>
            <w:vAlign w:val="center"/>
          </w:tcPr>
          <w:p>
            <w:pPr>
              <w:spacing w:after="0"/>
              <w:jc w:val="left"/>
            </w:pPr>
            <w:r>
              <w:rPr>
                <w:rFonts w:ascii="Aptos" w:hAnsi="Aptos"/>
                <w:b w:val="0"/>
                <w:i w:val="0"/>
                <w:color w:val="1F2937"/>
                <w:sz w:val="17"/>
              </w:rPr>
              <w:t>&lt; 5%</w:t>
            </w:r>
          </w:p>
        </w:tc>
      </w:tr>
      <w:tr>
        <w:tc>
          <w:tcPr>
            <w:tcW w:type="dxa" w:w="5040"/>
            <w:shd w:fill="F8FAFC"/>
            <w:vAlign w:val="center"/>
          </w:tcPr>
          <w:p>
            <w:pPr>
              <w:spacing w:after="0"/>
              <w:jc w:val="left"/>
            </w:pPr>
            <w:r>
              <w:rPr>
                <w:rFonts w:ascii="Aptos" w:hAnsi="Aptos"/>
                <w:b w:val="0"/>
                <w:i w:val="0"/>
                <w:color w:val="1F2937"/>
                <w:sz w:val="17"/>
              </w:rPr>
              <w:t>Completed sessions</w:t>
            </w:r>
          </w:p>
        </w:tc>
        <w:tc>
          <w:tcPr>
            <w:tcW w:type="dxa" w:w="4320"/>
            <w:shd w:fill="F8FAFC"/>
            <w:vAlign w:val="center"/>
          </w:tcPr>
          <w:p>
            <w:pPr>
              <w:spacing w:after="0"/>
              <w:jc w:val="left"/>
            </w:pPr>
            <w:r>
              <w:rPr>
                <w:rFonts w:ascii="Aptos" w:hAnsi="Aptos"/>
                <w:b w:val="0"/>
                <w:i w:val="0"/>
                <w:color w:val="1F2937"/>
                <w:sz w:val="17"/>
              </w:rPr>
              <w:t>≥ 80% of started sessions</w:t>
            </w:r>
          </w:p>
        </w:tc>
      </w:tr>
      <w:tr>
        <w:tc>
          <w:tcPr>
            <w:tcW w:type="dxa" w:w="5040"/>
            <w:shd w:fill="FFFFFF"/>
            <w:vAlign w:val="center"/>
          </w:tcPr>
          <w:p>
            <w:pPr>
              <w:spacing w:after="0"/>
              <w:jc w:val="left"/>
            </w:pPr>
            <w:r>
              <w:rPr>
                <w:rFonts w:ascii="Aptos" w:hAnsi="Aptos"/>
                <w:b w:val="0"/>
                <w:i w:val="0"/>
                <w:color w:val="1F2937"/>
                <w:sz w:val="17"/>
              </w:rPr>
              <w:t>Iraqi Arabic human rating</w:t>
            </w:r>
          </w:p>
        </w:tc>
        <w:tc>
          <w:tcPr>
            <w:tcW w:type="dxa" w:w="4320"/>
            <w:shd w:fill="FFFFFF"/>
            <w:vAlign w:val="center"/>
          </w:tcPr>
          <w:p>
            <w:pPr>
              <w:spacing w:after="0"/>
              <w:jc w:val="left"/>
            </w:pPr>
            <w:r>
              <w:rPr>
                <w:rFonts w:ascii="Aptos" w:hAnsi="Aptos"/>
                <w:b w:val="0"/>
                <w:i w:val="0"/>
                <w:color w:val="1F2937"/>
                <w:sz w:val="17"/>
              </w:rPr>
              <w:t>≥ 4 / 5 average</w:t>
            </w:r>
          </w:p>
        </w:tc>
      </w:tr>
      <w:tr>
        <w:tc>
          <w:tcPr>
            <w:tcW w:type="dxa" w:w="5040"/>
            <w:shd w:fill="F8FAFC"/>
            <w:vAlign w:val="center"/>
          </w:tcPr>
          <w:p>
            <w:pPr>
              <w:spacing w:after="0"/>
              <w:jc w:val="left"/>
            </w:pPr>
            <w:r>
              <w:rPr>
                <w:rFonts w:ascii="Aptos" w:hAnsi="Aptos"/>
                <w:b w:val="0"/>
                <w:i w:val="0"/>
                <w:color w:val="1F2937"/>
                <w:sz w:val="17"/>
              </w:rPr>
              <w:t>Score agreement with expert reviewers</w:t>
            </w:r>
          </w:p>
        </w:tc>
        <w:tc>
          <w:tcPr>
            <w:tcW w:type="dxa" w:w="4320"/>
            <w:shd w:fill="F8FAFC"/>
            <w:vAlign w:val="center"/>
          </w:tcPr>
          <w:p>
            <w:pPr>
              <w:spacing w:after="0"/>
              <w:jc w:val="left"/>
            </w:pPr>
            <w:r>
              <w:rPr>
                <w:rFonts w:ascii="Aptos" w:hAnsi="Aptos"/>
                <w:b w:val="0"/>
                <w:i w:val="0"/>
                <w:color w:val="1F2937"/>
                <w:sz w:val="17"/>
              </w:rPr>
              <w:t>Correlation and disagreement reviewed before managerial use</w:t>
            </w:r>
          </w:p>
        </w:tc>
      </w:tr>
    </w:tbl>
    <w:p>
      <w:pPr>
        <w:spacing w:after="0"/>
      </w:pPr>
    </w:p>
    <w:p>
      <w:r>
        <w:br w:type="page"/>
      </w:r>
    </w:p>
    <w:p>
      <w:pPr>
        <w:pStyle w:val="Heading1"/>
        <w:keepNext/>
      </w:pPr>
      <w:r>
        <w:rPr>
          <w:rFonts w:ascii="Aptos" w:hAnsi="Aptos"/>
          <w:b/>
          <w:i w:val="0"/>
          <w:color w:val="2E74B5"/>
          <w:sz w:val="32"/>
        </w:rPr>
        <w:t>4. Development priorities</w:t>
      </w:r>
    </w:p>
    <w:p>
      <w:pPr>
        <w:pStyle w:val="Heading2"/>
        <w:keepNext/>
      </w:pPr>
      <w:r>
        <w:rPr>
          <w:rFonts w:ascii="Aptos" w:hAnsi="Aptos"/>
          <w:b/>
          <w:i w:val="0"/>
          <w:color w:val="2E74B5"/>
          <w:sz w:val="26"/>
        </w:rPr>
        <w:t>P0 — complete before wider user rollout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224"/>
            <w:shd w:fill="17324D"/>
            <w:vAlign w:val="center"/>
          </w:tcPr>
          <w:p>
            <w:pPr>
              <w:spacing w:after="0"/>
              <w:jc w:val="left"/>
            </w:pPr>
            <w:r>
              <w:rPr>
                <w:rFonts w:ascii="Aptos" w:hAnsi="Aptos"/>
                <w:b/>
                <w:i w:val="0"/>
                <w:color w:val="FFFFFF"/>
                <w:sz w:val="18"/>
              </w:rPr>
              <w:t>Priority</w:t>
            </w:r>
          </w:p>
        </w:tc>
        <w:tc>
          <w:tcPr>
            <w:tcW w:type="dxa" w:w="4824"/>
            <w:shd w:fill="17324D"/>
            <w:vAlign w:val="center"/>
          </w:tcPr>
          <w:p>
            <w:pPr>
              <w:spacing w:after="0"/>
              <w:jc w:val="left"/>
            </w:pPr>
            <w:r>
              <w:rPr>
                <w:rFonts w:ascii="Aptos" w:hAnsi="Aptos"/>
                <w:b/>
                <w:i w:val="0"/>
                <w:color w:val="FFFFFF"/>
                <w:sz w:val="18"/>
              </w:rPr>
              <w:t>Action</w:t>
            </w:r>
          </w:p>
        </w:tc>
        <w:tc>
          <w:tcPr>
            <w:tcW w:type="dxa" w:w="3312"/>
            <w:shd w:fill="17324D"/>
            <w:vAlign w:val="center"/>
          </w:tcPr>
          <w:p>
            <w:pPr>
              <w:spacing w:after="0"/>
              <w:jc w:val="left"/>
            </w:pPr>
            <w:r>
              <w:rPr>
                <w:rFonts w:ascii="Aptos" w:hAnsi="Aptos"/>
                <w:b/>
                <w:i w:val="0"/>
                <w:color w:val="FFFFFF"/>
                <w:sz w:val="18"/>
              </w:rPr>
              <w:t>Acceptance check</w:t>
            </w:r>
          </w:p>
        </w:tc>
      </w:tr>
      <w:tr>
        <w:tc>
          <w:tcPr>
            <w:tcW w:type="dxa" w:w="1224"/>
            <w:shd w:fill="FFFFFF"/>
            <w:vAlign w:val="center"/>
          </w:tcPr>
          <w:p>
            <w:pPr>
              <w:spacing w:after="0"/>
              <w:jc w:val="left"/>
            </w:pPr>
            <w:r>
              <w:rPr>
                <w:rFonts w:ascii="Aptos" w:hAnsi="Aptos"/>
                <w:b w:val="0"/>
                <w:i w:val="0"/>
                <w:color w:val="1F2937"/>
                <w:sz w:val="17"/>
              </w:rPr>
              <w:t>P0.1</w:t>
            </w:r>
          </w:p>
        </w:tc>
        <w:tc>
          <w:tcPr>
            <w:tcW w:type="dxa" w:w="4824"/>
            <w:shd w:fill="FFFFFF"/>
            <w:vAlign w:val="center"/>
          </w:tcPr>
          <w:p>
            <w:pPr>
              <w:spacing w:after="0"/>
              <w:jc w:val="left"/>
            </w:pPr>
            <w:r>
              <w:rPr>
                <w:rFonts w:ascii="Aptos" w:hAnsi="Aptos"/>
                <w:b w:val="0"/>
                <w:i w:val="0"/>
                <w:color w:val="1F2937"/>
                <w:sz w:val="17"/>
              </w:rPr>
              <w:t>Wire the StyleShift Voice Partner screen to Daily/Pipecat.</w:t>
            </w:r>
          </w:p>
        </w:tc>
        <w:tc>
          <w:tcPr>
            <w:tcW w:type="dxa" w:w="3312"/>
            <w:shd w:fill="FFFFFF"/>
            <w:vAlign w:val="center"/>
          </w:tcPr>
          <w:p>
            <w:pPr>
              <w:spacing w:after="0"/>
              <w:jc w:val="left"/>
            </w:pPr>
            <w:r>
              <w:rPr>
                <w:rFonts w:ascii="Aptos" w:hAnsi="Aptos"/>
                <w:b w:val="0"/>
                <w:i w:val="0"/>
                <w:color w:val="1F2937"/>
                <w:sz w:val="17"/>
              </w:rPr>
              <w:t>Start practice joins a room, streams audio, handles leave, mic denial and reconnect.</w:t>
            </w:r>
          </w:p>
        </w:tc>
      </w:tr>
      <w:tr>
        <w:tc>
          <w:tcPr>
            <w:tcW w:type="dxa" w:w="1224"/>
            <w:shd w:fill="F8FAFC"/>
            <w:vAlign w:val="center"/>
          </w:tcPr>
          <w:p>
            <w:pPr>
              <w:spacing w:after="0"/>
              <w:jc w:val="left"/>
            </w:pPr>
            <w:r>
              <w:rPr>
                <w:rFonts w:ascii="Aptos" w:hAnsi="Aptos"/>
                <w:b w:val="0"/>
                <w:i w:val="0"/>
                <w:color w:val="1F2937"/>
                <w:sz w:val="17"/>
              </w:rPr>
              <w:t>P0.2</w:t>
            </w:r>
          </w:p>
        </w:tc>
        <w:tc>
          <w:tcPr>
            <w:tcW w:type="dxa" w:w="4824"/>
            <w:shd w:fill="F8FAFC"/>
            <w:vAlign w:val="center"/>
          </w:tcPr>
          <w:p>
            <w:pPr>
              <w:spacing w:after="0"/>
              <w:jc w:val="left"/>
            </w:pPr>
            <w:r>
              <w:rPr>
                <w:rFonts w:ascii="Aptos" w:hAnsi="Aptos"/>
                <w:b w:val="0"/>
                <w:i w:val="0"/>
                <w:color w:val="1F2937"/>
                <w:sz w:val="17"/>
              </w:rPr>
              <w:t>Bridge Pipecat transcripts to the existing StyleShift judge and persistence routes.</w:t>
            </w:r>
          </w:p>
        </w:tc>
        <w:tc>
          <w:tcPr>
            <w:tcW w:type="dxa" w:w="3312"/>
            <w:shd w:fill="F8FAFC"/>
            <w:vAlign w:val="center"/>
          </w:tcPr>
          <w:p>
            <w:pPr>
              <w:spacing w:after="0"/>
              <w:jc w:val="left"/>
            </w:pPr>
            <w:r>
              <w:rPr>
                <w:rFonts w:ascii="Aptos" w:hAnsi="Aptos"/>
                <w:b w:val="0"/>
                <w:i w:val="0"/>
                <w:color w:val="1F2937"/>
                <w:sz w:val="17"/>
              </w:rPr>
              <w:t>Every rep turn appears in conversation_turns; one outcome and one scorecard are produced.</w:t>
            </w:r>
          </w:p>
        </w:tc>
      </w:tr>
      <w:tr>
        <w:tc>
          <w:tcPr>
            <w:tcW w:type="dxa" w:w="1224"/>
            <w:shd w:fill="FFFFFF"/>
            <w:vAlign w:val="center"/>
          </w:tcPr>
          <w:p>
            <w:pPr>
              <w:spacing w:after="0"/>
              <w:jc w:val="left"/>
            </w:pPr>
            <w:r>
              <w:rPr>
                <w:rFonts w:ascii="Aptos" w:hAnsi="Aptos"/>
                <w:b w:val="0"/>
                <w:i w:val="0"/>
                <w:color w:val="1F2937"/>
                <w:sz w:val="17"/>
              </w:rPr>
              <w:t>P0.3</w:t>
            </w:r>
          </w:p>
        </w:tc>
        <w:tc>
          <w:tcPr>
            <w:tcW w:type="dxa" w:w="4824"/>
            <w:shd w:fill="FFFFFF"/>
            <w:vAlign w:val="center"/>
          </w:tcPr>
          <w:p>
            <w:pPr>
              <w:spacing w:after="0"/>
              <w:jc w:val="left"/>
            </w:pPr>
            <w:r>
              <w:rPr>
                <w:rFonts w:ascii="Aptos" w:hAnsi="Aptos"/>
                <w:b w:val="0"/>
                <w:i w:val="0"/>
                <w:color w:val="1F2937"/>
                <w:sz w:val="17"/>
              </w:rPr>
              <w:t>Run an Iraqi Arabic voice QA set with real speakers.</w:t>
            </w:r>
          </w:p>
        </w:tc>
        <w:tc>
          <w:tcPr>
            <w:tcW w:type="dxa" w:w="3312"/>
            <w:shd w:fill="FFFFFF"/>
            <w:vAlign w:val="center"/>
          </w:tcPr>
          <w:p>
            <w:pPr>
              <w:spacing w:after="0"/>
              <w:jc w:val="left"/>
            </w:pPr>
            <w:r>
              <w:rPr>
                <w:rFonts w:ascii="Aptos" w:hAnsi="Aptos"/>
                <w:b w:val="0"/>
                <w:i w:val="0"/>
                <w:color w:val="1F2937"/>
                <w:sz w:val="17"/>
              </w:rPr>
              <w:t>20 scripted scenarios; dialect, pronunciation, switching and doctor-style ratings average ≥ 4/5.</w:t>
            </w:r>
          </w:p>
        </w:tc>
      </w:tr>
      <w:tr>
        <w:tc>
          <w:tcPr>
            <w:tcW w:type="dxa" w:w="1224"/>
            <w:shd w:fill="F8FAFC"/>
            <w:vAlign w:val="center"/>
          </w:tcPr>
          <w:p>
            <w:pPr>
              <w:spacing w:after="0"/>
              <w:jc w:val="left"/>
            </w:pPr>
            <w:r>
              <w:rPr>
                <w:rFonts w:ascii="Aptos" w:hAnsi="Aptos"/>
                <w:b w:val="0"/>
                <w:i w:val="0"/>
                <w:color w:val="1F2937"/>
                <w:sz w:val="17"/>
              </w:rPr>
              <w:t>P0.4</w:t>
            </w:r>
          </w:p>
        </w:tc>
        <w:tc>
          <w:tcPr>
            <w:tcW w:type="dxa" w:w="4824"/>
            <w:shd w:fill="F8FAFC"/>
            <w:vAlign w:val="center"/>
          </w:tcPr>
          <w:p>
            <w:pPr>
              <w:spacing w:after="0"/>
              <w:jc w:val="left"/>
            </w:pPr>
            <w:r>
              <w:rPr>
                <w:rFonts w:ascii="Aptos" w:hAnsi="Aptos"/>
                <w:b w:val="0"/>
                <w:i w:val="0"/>
                <w:color w:val="1F2937"/>
                <w:sz w:val="17"/>
              </w:rPr>
              <w:t>Set production secrets and verify database migrations.</w:t>
            </w:r>
          </w:p>
        </w:tc>
        <w:tc>
          <w:tcPr>
            <w:tcW w:type="dxa" w:w="3312"/>
            <w:shd w:fill="F8FAFC"/>
            <w:vAlign w:val="center"/>
          </w:tcPr>
          <w:p>
            <w:pPr>
              <w:spacing w:after="0"/>
              <w:jc w:val="left"/>
            </w:pPr>
            <w:r>
              <w:rPr>
                <w:rFonts w:ascii="Aptos" w:hAnsi="Aptos"/>
                <w:b w:val="0"/>
                <w:i w:val="0"/>
                <w:color w:val="1F2937"/>
                <w:sz w:val="17"/>
              </w:rPr>
              <w:t>No client-exposed keys; staging session completes end-to-end.</w:t>
            </w:r>
          </w:p>
        </w:tc>
      </w:tr>
    </w:tbl>
    <w:p>
      <w:pPr>
        <w:spacing w:after="0"/>
      </w:pPr>
    </w:p>
    <w:p>
      <w:pPr>
        <w:pStyle w:val="Heading2"/>
        <w:keepNext/>
      </w:pPr>
      <w:r>
        <w:rPr>
          <w:rFonts w:ascii="Aptos" w:hAnsi="Aptos"/>
          <w:b/>
          <w:i w:val="0"/>
          <w:color w:val="2E74B5"/>
          <w:sz w:val="26"/>
        </w:rPr>
        <w:t>P1 — improve quality after the flow works</w:t>
      </w:r>
    </w:p>
    <w:p>
      <w:pPr>
        <w:pStyle w:val="ListBullet"/>
        <w:spacing w:after="60"/>
        <w:ind w:left="720" w:hanging="360"/>
      </w:pPr>
      <w:r>
        <w:rPr>
          <w:rFonts w:ascii="Aptos" w:hAnsi="Aptos"/>
          <w:b w:val="0"/>
          <w:i w:val="0"/>
          <w:color w:val="1F2937"/>
          <w:sz w:val="20"/>
        </w:rPr>
        <w:t>Instrument join success, latency, STT failures, TTS failures, reconnects, drop-off and session completion.</w:t>
      </w:r>
    </w:p>
    <w:p>
      <w:pPr>
        <w:pStyle w:val="ListBullet"/>
        <w:spacing w:after="60"/>
        <w:ind w:left="720" w:hanging="360"/>
      </w:pPr>
      <w:r>
        <w:rPr>
          <w:rFonts w:ascii="Aptos" w:hAnsi="Aptos"/>
          <w:b w:val="0"/>
          <w:i w:val="0"/>
          <w:color w:val="1F2937"/>
          <w:sz w:val="20"/>
        </w:rPr>
        <w:t>Calibrate competency, adaptation and CLEAR scores against sales-coach ratings.</w:t>
      </w:r>
    </w:p>
    <w:p>
      <w:pPr>
        <w:pStyle w:val="ListBullet"/>
        <w:spacing w:after="60"/>
        <w:ind w:left="720" w:hanging="360"/>
      </w:pPr>
      <w:r>
        <w:rPr>
          <w:rFonts w:ascii="Aptos" w:hAnsi="Aptos"/>
          <w:b w:val="0"/>
          <w:i w:val="0"/>
          <w:color w:val="1F2937"/>
          <w:sz w:val="20"/>
        </w:rPr>
        <w:t>Add Iraqi Arabic/English mid-session switching and barge-in interruption.</w:t>
      </w:r>
    </w:p>
    <w:p>
      <w:pPr>
        <w:pStyle w:val="ListBullet"/>
        <w:spacing w:after="60"/>
        <w:ind w:left="720" w:hanging="360"/>
      </w:pPr>
      <w:r>
        <w:rPr>
          <w:rFonts w:ascii="Aptos" w:hAnsi="Aptos"/>
          <w:b w:val="0"/>
          <w:i w:val="0"/>
          <w:color w:val="1F2937"/>
          <w:sz w:val="20"/>
        </w:rPr>
        <w:t>Add a user-visible transcript and clear explanation of what is and is not being scored.</w:t>
      </w:r>
    </w:p>
    <w:p>
      <w:pPr>
        <w:pStyle w:val="Heading2"/>
        <w:keepNext/>
      </w:pPr>
      <w:r>
        <w:rPr>
          <w:rFonts w:ascii="Aptos" w:hAnsi="Aptos"/>
          <w:b/>
          <w:i w:val="0"/>
          <w:color w:val="2E74B5"/>
          <w:sz w:val="26"/>
        </w:rPr>
        <w:t>P2 — expand the coaching product</w:t>
      </w:r>
    </w:p>
    <w:p>
      <w:pPr>
        <w:pStyle w:val="ListBullet"/>
        <w:spacing w:after="60"/>
        <w:ind w:left="720" w:hanging="360"/>
      </w:pPr>
      <w:r>
        <w:rPr>
          <w:rFonts w:ascii="Aptos" w:hAnsi="Aptos"/>
          <w:b w:val="0"/>
          <w:i w:val="0"/>
          <w:color w:val="1F2937"/>
          <w:sz w:val="20"/>
        </w:rPr>
        <w:t>Targeted re-practice for missed behaviors and objection types.</w:t>
      </w:r>
    </w:p>
    <w:p>
      <w:pPr>
        <w:pStyle w:val="ListBullet"/>
        <w:spacing w:after="60"/>
        <w:ind w:left="720" w:hanging="360"/>
      </w:pPr>
      <w:r>
        <w:rPr>
          <w:rFonts w:ascii="Aptos" w:hAnsi="Aptos"/>
          <w:b w:val="0"/>
          <w:i w:val="0"/>
          <w:color w:val="1F2937"/>
          <w:sz w:val="20"/>
        </w:rPr>
        <w:t>Manager trends that combine AI Doctor and human roleplay evidence.</w:t>
      </w:r>
    </w:p>
    <w:p>
      <w:pPr>
        <w:pStyle w:val="ListBullet"/>
        <w:spacing w:after="60"/>
        <w:ind w:left="720" w:hanging="360"/>
      </w:pPr>
      <w:r>
        <w:rPr>
          <w:rFonts w:ascii="Aptos" w:hAnsi="Aptos"/>
          <w:b w:val="0"/>
          <w:i w:val="0"/>
          <w:color w:val="1F2937"/>
          <w:sz w:val="20"/>
        </w:rPr>
        <w:t>Readiness scoring, behavioral evolution and scenario recommendations.</w:t>
      </w:r>
    </w:p>
    <w:p>
      <w:pPr>
        <w:pStyle w:val="ListBullet"/>
        <w:spacing w:after="60"/>
        <w:ind w:left="720" w:hanging="360"/>
      </w:pPr>
      <w:r>
        <w:rPr>
          <w:rFonts w:ascii="Aptos" w:hAnsi="Aptos"/>
          <w:b w:val="0"/>
          <w:i w:val="0"/>
          <w:color w:val="1F2937"/>
          <w:sz w:val="20"/>
        </w:rPr>
        <w:t>Evidence-linked cognitive patterns and approved-content grounding.</w:t>
      </w:r>
    </w:p>
    <w:tbl>
      <w:tblPr>
        <w:tblW w:type="auto" w:w="0"/>
        <w:jc w:val="left"/>
        <w:tblLayout w:type="fixed"/>
        <w:tblLook w:firstColumn="1" w:firstRow="1" w:lastColumn="0" w:lastRow="0" w:noHBand="0" w:noVBand="1" w:val="04A0"/>
      </w:tblPr>
      <w:tblGrid>
        <w:gridCol w:w="9360"/>
      </w:tblGrid>
      <w:tr>
        <w:tc>
          <w:tcPr>
            <w:tcW w:type="dxa" w:w="9360"/>
            <w:shd w:fill="FFF5E5"/>
          </w:tcPr>
          <w:p>
            <w:pPr>
              <w:spacing w:after="60"/>
            </w:pPr>
            <w:r>
              <w:rPr>
                <w:rFonts w:ascii="Aptos" w:hAnsi="Aptos"/>
                <w:b/>
                <w:i w:val="0"/>
                <w:color w:val="C58B2A"/>
                <w:sz w:val="18"/>
              </w:rPr>
              <w:t>BUILD DISCIPLINE</w:t>
            </w:r>
          </w:p>
          <w:p>
            <w:pPr>
              <w:spacing w:after="60"/>
            </w:pPr>
            <w:r>
              <w:rPr>
                <w:rFonts w:ascii="Aptos" w:hAnsi="Aptos"/>
                <w:b/>
                <w:i w:val="0"/>
                <w:color w:val="17324D"/>
                <w:sz w:val="22"/>
              </w:rPr>
              <w:t>Do not add more score categories until the realtime path, Iraqi Arabic quality and score calibration are reliable. More metrics cannot compensate for an untrusted conversation experience.</w:t>
            </w:r>
          </w:p>
        </w:tc>
      </w:tr>
    </w:tbl>
    <w:p>
      <w:pPr>
        <w:spacing w:after="0"/>
      </w:pPr>
    </w:p>
    <w:p>
      <w:r>
        <w:br w:type="page"/>
      </w:r>
    </w:p>
    <w:p>
      <w:pPr>
        <w:pStyle w:val="Heading1"/>
        <w:keepNext/>
      </w:pPr>
      <w:r>
        <w:rPr>
          <w:rFonts w:ascii="Aptos" w:hAnsi="Aptos"/>
          <w:b/>
          <w:i w:val="0"/>
          <w:color w:val="2E74B5"/>
          <w:sz w:val="32"/>
        </w:rPr>
        <w:t>5. Tools and services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232"/>
            <w:shd w:fill="17324D"/>
            <w:vAlign w:val="center"/>
          </w:tcPr>
          <w:p>
            <w:pPr>
              <w:spacing w:after="0"/>
              <w:jc w:val="left"/>
            </w:pPr>
            <w:r>
              <w:rPr>
                <w:rFonts w:ascii="Aptos" w:hAnsi="Aptos"/>
                <w:b/>
                <w:i w:val="0"/>
                <w:color w:val="FFFFFF"/>
                <w:sz w:val="18"/>
              </w:rPr>
              <w:t>Tool/service</w:t>
            </w:r>
          </w:p>
        </w:tc>
        <w:tc>
          <w:tcPr>
            <w:tcW w:type="dxa" w:w="3672"/>
            <w:shd w:fill="17324D"/>
            <w:vAlign w:val="center"/>
          </w:tcPr>
          <w:p>
            <w:pPr>
              <w:spacing w:after="0"/>
              <w:jc w:val="left"/>
            </w:pPr>
            <w:r>
              <w:rPr>
                <w:rFonts w:ascii="Aptos" w:hAnsi="Aptos"/>
                <w:b/>
                <w:i w:val="0"/>
                <w:color w:val="FFFFFF"/>
                <w:sz w:val="18"/>
              </w:rPr>
              <w:t>Role in StyleShift</w:t>
            </w:r>
          </w:p>
        </w:tc>
        <w:tc>
          <w:tcPr>
            <w:tcW w:type="dxa" w:w="3456"/>
            <w:shd w:fill="17324D"/>
            <w:vAlign w:val="center"/>
          </w:tcPr>
          <w:p>
            <w:pPr>
              <w:spacing w:after="0"/>
              <w:jc w:val="left"/>
            </w:pPr>
            <w:r>
              <w:rPr>
                <w:rFonts w:ascii="Aptos" w:hAnsi="Aptos"/>
                <w:b/>
                <w:i w:val="0"/>
                <w:color w:val="FFFFFF"/>
                <w:sz w:val="18"/>
              </w:rPr>
              <w:t>Evaluation note</w:t>
            </w:r>
          </w:p>
        </w:tc>
      </w:tr>
      <w:tr>
        <w:tc>
          <w:tcPr>
            <w:tcW w:type="dxa" w:w="2232"/>
            <w:shd w:fill="FFFFFF"/>
            <w:vAlign w:val="center"/>
          </w:tcPr>
          <w:p>
            <w:pPr>
              <w:spacing w:after="0"/>
              <w:jc w:val="left"/>
            </w:pPr>
            <w:r>
              <w:rPr>
                <w:rFonts w:ascii="Aptos" w:hAnsi="Aptos"/>
                <w:b w:val="0"/>
                <w:i w:val="0"/>
                <w:color w:val="1F2937"/>
                <w:sz w:val="17"/>
              </w:rPr>
              <w:t>Anthropic Claude Haiku</w:t>
            </w:r>
          </w:p>
        </w:tc>
        <w:tc>
          <w:tcPr>
            <w:tcW w:type="dxa" w:w="3672"/>
            <w:shd w:fill="FFFFFF"/>
            <w:vAlign w:val="center"/>
          </w:tcPr>
          <w:p>
            <w:pPr>
              <w:spacing w:after="0"/>
              <w:jc w:val="left"/>
            </w:pPr>
            <w:r>
              <w:rPr>
                <w:rFonts w:ascii="Aptos" w:hAnsi="Aptos"/>
                <w:b w:val="0"/>
                <w:i w:val="0"/>
                <w:color w:val="1F2937"/>
                <w:sz w:val="17"/>
              </w:rPr>
              <w:t>AI Doctor reactions and Deep Analysis</w:t>
            </w:r>
          </w:p>
        </w:tc>
        <w:tc>
          <w:tcPr>
            <w:tcW w:type="dxa" w:w="3456"/>
            <w:shd w:fill="FFFFFF"/>
            <w:vAlign w:val="center"/>
          </w:tcPr>
          <w:p>
            <w:pPr>
              <w:spacing w:after="0"/>
              <w:jc w:val="left"/>
            </w:pPr>
            <w:r>
              <w:rPr>
                <w:rFonts w:ascii="Aptos" w:hAnsi="Aptos"/>
                <w:b w:val="0"/>
                <w:i w:val="0"/>
                <w:color w:val="1F2937"/>
                <w:sz w:val="17"/>
              </w:rPr>
              <w:t>Structured JSON output is validated and grounded; model scores are not trusted blindly.</w:t>
            </w:r>
          </w:p>
        </w:tc>
      </w:tr>
      <w:tr>
        <w:tc>
          <w:tcPr>
            <w:tcW w:type="dxa" w:w="2232"/>
            <w:shd w:fill="F8FAFC"/>
            <w:vAlign w:val="center"/>
          </w:tcPr>
          <w:p>
            <w:pPr>
              <w:spacing w:after="0"/>
              <w:jc w:val="left"/>
            </w:pPr>
            <w:r>
              <w:rPr>
                <w:rFonts w:ascii="Aptos" w:hAnsi="Aptos"/>
                <w:b w:val="0"/>
                <w:i w:val="0"/>
                <w:color w:val="1F2937"/>
                <w:sz w:val="17"/>
              </w:rPr>
              <w:t>OpenAI Whisper</w:t>
            </w:r>
          </w:p>
        </w:tc>
        <w:tc>
          <w:tcPr>
            <w:tcW w:type="dxa" w:w="3672"/>
            <w:shd w:fill="F8FAFC"/>
            <w:vAlign w:val="center"/>
          </w:tcPr>
          <w:p>
            <w:pPr>
              <w:spacing w:after="0"/>
              <w:jc w:val="left"/>
            </w:pPr>
            <w:r>
              <w:rPr>
                <w:rFonts w:ascii="Aptos" w:hAnsi="Aptos"/>
                <w:b w:val="0"/>
                <w:i w:val="0"/>
                <w:color w:val="1F2937"/>
                <w:sz w:val="17"/>
              </w:rPr>
              <w:t>Speech-to-text for turn-based voice partner</w:t>
            </w:r>
          </w:p>
        </w:tc>
        <w:tc>
          <w:tcPr>
            <w:tcW w:type="dxa" w:w="3456"/>
            <w:shd w:fill="F8FAFC"/>
            <w:vAlign w:val="center"/>
          </w:tcPr>
          <w:p>
            <w:pPr>
              <w:spacing w:after="0"/>
              <w:jc w:val="left"/>
            </w:pPr>
            <w:r>
              <w:rPr>
                <w:rFonts w:ascii="Aptos" w:hAnsi="Aptos"/>
                <w:b w:val="0"/>
                <w:i w:val="0"/>
                <w:color w:val="1F2937"/>
                <w:sz w:val="17"/>
              </w:rPr>
              <w:t>Language is pinned per session; Iraqi dialect accuracy remains to be tested.</w:t>
            </w:r>
          </w:p>
        </w:tc>
      </w:tr>
      <w:tr>
        <w:tc>
          <w:tcPr>
            <w:tcW w:type="dxa" w:w="2232"/>
            <w:shd w:fill="FFFFFF"/>
            <w:vAlign w:val="center"/>
          </w:tcPr>
          <w:p>
            <w:pPr>
              <w:spacing w:after="0"/>
              <w:jc w:val="left"/>
            </w:pPr>
            <w:r>
              <w:rPr>
                <w:rFonts w:ascii="Aptos" w:hAnsi="Aptos"/>
                <w:b w:val="0"/>
                <w:i w:val="0"/>
                <w:color w:val="1F2937"/>
                <w:sz w:val="17"/>
              </w:rPr>
              <w:t>OpenAI TTS</w:t>
            </w:r>
          </w:p>
        </w:tc>
        <w:tc>
          <w:tcPr>
            <w:tcW w:type="dxa" w:w="3672"/>
            <w:shd w:fill="FFFFFF"/>
            <w:vAlign w:val="center"/>
          </w:tcPr>
          <w:p>
            <w:pPr>
              <w:spacing w:after="0"/>
              <w:jc w:val="left"/>
            </w:pPr>
            <w:r>
              <w:rPr>
                <w:rFonts w:ascii="Aptos" w:hAnsi="Aptos"/>
                <w:b w:val="0"/>
                <w:i w:val="0"/>
                <w:color w:val="1F2937"/>
                <w:sz w:val="17"/>
              </w:rPr>
              <w:t>Doctor reply audio in current flow</w:t>
            </w:r>
          </w:p>
        </w:tc>
        <w:tc>
          <w:tcPr>
            <w:tcW w:type="dxa" w:w="3456"/>
            <w:shd w:fill="FFFFFF"/>
            <w:vAlign w:val="center"/>
          </w:tcPr>
          <w:p>
            <w:pPr>
              <w:spacing w:after="0"/>
              <w:jc w:val="left"/>
            </w:pPr>
            <w:r>
              <w:rPr>
                <w:rFonts w:ascii="Aptos" w:hAnsi="Aptos"/>
                <w:b w:val="0"/>
                <w:i w:val="0"/>
                <w:color w:val="1F2937"/>
                <w:sz w:val="17"/>
              </w:rPr>
              <w:t>Current route targets Modern Standard Arabic rather than verified Iraqi speech.</w:t>
            </w:r>
          </w:p>
        </w:tc>
      </w:tr>
      <w:tr>
        <w:tc>
          <w:tcPr>
            <w:tcW w:type="dxa" w:w="2232"/>
            <w:shd w:fill="F8FAFC"/>
            <w:vAlign w:val="center"/>
          </w:tcPr>
          <w:p>
            <w:pPr>
              <w:spacing w:after="0"/>
              <w:jc w:val="left"/>
            </w:pPr>
            <w:r>
              <w:rPr>
                <w:rFonts w:ascii="Aptos" w:hAnsi="Aptos"/>
                <w:b w:val="0"/>
                <w:i w:val="0"/>
                <w:color w:val="1F2937"/>
                <w:sz w:val="17"/>
              </w:rPr>
              <w:t>AssemblyAI</w:t>
            </w:r>
          </w:p>
        </w:tc>
        <w:tc>
          <w:tcPr>
            <w:tcW w:type="dxa" w:w="3672"/>
            <w:shd w:fill="F8FAFC"/>
            <w:vAlign w:val="center"/>
          </w:tcPr>
          <w:p>
            <w:pPr>
              <w:spacing w:after="0"/>
              <w:jc w:val="left"/>
            </w:pPr>
            <w:r>
              <w:rPr>
                <w:rFonts w:ascii="Aptos" w:hAnsi="Aptos"/>
                <w:b w:val="0"/>
                <w:i w:val="0"/>
                <w:color w:val="1F2937"/>
                <w:sz w:val="17"/>
              </w:rPr>
              <w:t>Speaker diarization for human roleplay</w:t>
            </w:r>
          </w:p>
        </w:tc>
        <w:tc>
          <w:tcPr>
            <w:tcW w:type="dxa" w:w="3456"/>
            <w:shd w:fill="F8FAFC"/>
            <w:vAlign w:val="center"/>
          </w:tcPr>
          <w:p>
            <w:pPr>
              <w:spacing w:after="0"/>
              <w:jc w:val="left"/>
            </w:pPr>
            <w:r>
              <w:rPr>
                <w:rFonts w:ascii="Aptos" w:hAnsi="Aptos"/>
                <w:b w:val="0"/>
                <w:i w:val="0"/>
                <w:color w:val="1F2937"/>
                <w:sz w:val="17"/>
              </w:rPr>
              <w:t>Enables rep/partner acoustic and turn-taking metrics.</w:t>
            </w:r>
          </w:p>
        </w:tc>
      </w:tr>
      <w:tr>
        <w:tc>
          <w:tcPr>
            <w:tcW w:type="dxa" w:w="2232"/>
            <w:shd w:fill="FFFFFF"/>
            <w:vAlign w:val="center"/>
          </w:tcPr>
          <w:p>
            <w:pPr>
              <w:spacing w:after="0"/>
              <w:jc w:val="left"/>
            </w:pPr>
            <w:r>
              <w:rPr>
                <w:rFonts w:ascii="Aptos" w:hAnsi="Aptos"/>
                <w:b w:val="0"/>
                <w:i w:val="0"/>
                <w:color w:val="1F2937"/>
                <w:sz w:val="17"/>
              </w:rPr>
              <w:t>Oruk</w:t>
            </w:r>
          </w:p>
        </w:tc>
        <w:tc>
          <w:tcPr>
            <w:tcW w:type="dxa" w:w="3672"/>
            <w:shd w:fill="FFFFFF"/>
            <w:vAlign w:val="center"/>
          </w:tcPr>
          <w:p>
            <w:pPr>
              <w:spacing w:after="0"/>
              <w:jc w:val="left"/>
            </w:pPr>
            <w:r>
              <w:rPr>
                <w:rFonts w:ascii="Aptos" w:hAnsi="Aptos"/>
                <w:b w:val="0"/>
                <w:i w:val="0"/>
                <w:color w:val="1F2937"/>
                <w:sz w:val="17"/>
              </w:rPr>
              <w:t>Optional English vocal feedback</w:t>
            </w:r>
          </w:p>
        </w:tc>
        <w:tc>
          <w:tcPr>
            <w:tcW w:type="dxa" w:w="3456"/>
            <w:shd w:fill="FFFFFF"/>
            <w:vAlign w:val="center"/>
          </w:tcPr>
          <w:p>
            <w:pPr>
              <w:spacing w:after="0"/>
              <w:jc w:val="left"/>
            </w:pPr>
            <w:r>
              <w:rPr>
                <w:rFonts w:ascii="Aptos" w:hAnsi="Aptos"/>
                <w:b w:val="0"/>
                <w:i w:val="0"/>
                <w:color w:val="1F2937"/>
                <w:sz w:val="17"/>
              </w:rPr>
              <w:t>Transient, English-only, independent of grading; Arabic is excluded.</w:t>
            </w:r>
          </w:p>
        </w:tc>
      </w:tr>
      <w:tr>
        <w:tc>
          <w:tcPr>
            <w:tcW w:type="dxa" w:w="2232"/>
            <w:shd w:fill="F8FAFC"/>
            <w:vAlign w:val="center"/>
          </w:tcPr>
          <w:p>
            <w:pPr>
              <w:spacing w:after="0"/>
              <w:jc w:val="left"/>
            </w:pPr>
            <w:r>
              <w:rPr>
                <w:rFonts w:ascii="Aptos" w:hAnsi="Aptos"/>
                <w:b w:val="0"/>
                <w:i w:val="0"/>
                <w:color w:val="1F2937"/>
                <w:sz w:val="17"/>
              </w:rPr>
              <w:t>Supabase</w:t>
            </w:r>
          </w:p>
        </w:tc>
        <w:tc>
          <w:tcPr>
            <w:tcW w:type="dxa" w:w="3672"/>
            <w:shd w:fill="F8FAFC"/>
            <w:vAlign w:val="center"/>
          </w:tcPr>
          <w:p>
            <w:pPr>
              <w:spacing w:after="0"/>
              <w:jc w:val="left"/>
            </w:pPr>
            <w:r>
              <w:rPr>
                <w:rFonts w:ascii="Aptos" w:hAnsi="Aptos"/>
                <w:b w:val="0"/>
                <w:i w:val="0"/>
                <w:color w:val="1F2937"/>
                <w:sz w:val="17"/>
              </w:rPr>
              <w:t>Auth, doctor profiles, turns, sessions, scorecards and trends</w:t>
            </w:r>
          </w:p>
        </w:tc>
        <w:tc>
          <w:tcPr>
            <w:tcW w:type="dxa" w:w="3456"/>
            <w:shd w:fill="F8FAFC"/>
            <w:vAlign w:val="center"/>
          </w:tcPr>
          <w:p>
            <w:pPr>
              <w:spacing w:after="0"/>
              <w:jc w:val="left"/>
            </w:pPr>
            <w:r>
              <w:rPr>
                <w:rFonts w:ascii="Aptos" w:hAnsi="Aptos"/>
                <w:b w:val="0"/>
                <w:i w:val="0"/>
                <w:color w:val="1F2937"/>
                <w:sz w:val="17"/>
              </w:rPr>
              <w:t>RLS and server-grounded evidence support explainability.</w:t>
            </w:r>
          </w:p>
        </w:tc>
      </w:tr>
      <w:tr>
        <w:tc>
          <w:tcPr>
            <w:tcW w:type="dxa" w:w="2232"/>
            <w:shd w:fill="FFFFFF"/>
            <w:vAlign w:val="center"/>
          </w:tcPr>
          <w:p>
            <w:pPr>
              <w:spacing w:after="0"/>
              <w:jc w:val="left"/>
            </w:pPr>
            <w:r>
              <w:rPr>
                <w:rFonts w:ascii="Aptos" w:hAnsi="Aptos"/>
                <w:b w:val="0"/>
                <w:i w:val="0"/>
                <w:color w:val="1F2937"/>
                <w:sz w:val="17"/>
              </w:rPr>
              <w:t>Pipecat Cloud + Daily</w:t>
            </w:r>
          </w:p>
        </w:tc>
        <w:tc>
          <w:tcPr>
            <w:tcW w:type="dxa" w:w="3672"/>
            <w:shd w:fill="FFFFFF"/>
            <w:vAlign w:val="center"/>
          </w:tcPr>
          <w:p>
            <w:pPr>
              <w:spacing w:after="0"/>
              <w:jc w:val="left"/>
            </w:pPr>
            <w:r>
              <w:rPr>
                <w:rFonts w:ascii="Aptos" w:hAnsi="Aptos"/>
                <w:b w:val="0"/>
                <w:i w:val="0"/>
                <w:color w:val="1F2937"/>
                <w:sz w:val="17"/>
              </w:rPr>
              <w:t>Realtime agent transport and room sessions</w:t>
            </w:r>
          </w:p>
        </w:tc>
        <w:tc>
          <w:tcPr>
            <w:tcW w:type="dxa" w:w="3456"/>
            <w:shd w:fill="FFFFFF"/>
            <w:vAlign w:val="center"/>
          </w:tcPr>
          <w:p>
            <w:pPr>
              <w:spacing w:after="0"/>
              <w:jc w:val="left"/>
            </w:pPr>
            <w:r>
              <w:rPr>
                <w:rFonts w:ascii="Aptos" w:hAnsi="Aptos"/>
                <w:b w:val="0"/>
                <w:i w:val="0"/>
                <w:color w:val="1F2937"/>
                <w:sz w:val="17"/>
              </w:rPr>
              <w:t>Deployment package is pushed; UI and scoring bridge remain P0.</w:t>
            </w:r>
          </w:p>
        </w:tc>
      </w:tr>
      <w:tr>
        <w:tc>
          <w:tcPr>
            <w:tcW w:type="dxa" w:w="2232"/>
            <w:shd w:fill="F8FAFC"/>
            <w:vAlign w:val="center"/>
          </w:tcPr>
          <w:p>
            <w:pPr>
              <w:spacing w:after="0"/>
              <w:jc w:val="left"/>
            </w:pPr>
            <w:r>
              <w:rPr>
                <w:rFonts w:ascii="Aptos" w:hAnsi="Aptos"/>
                <w:b w:val="0"/>
                <w:i w:val="0"/>
                <w:color w:val="1F2937"/>
                <w:sz w:val="17"/>
              </w:rPr>
              <w:t>Gemini Live</w:t>
            </w:r>
          </w:p>
        </w:tc>
        <w:tc>
          <w:tcPr>
            <w:tcW w:type="dxa" w:w="3672"/>
            <w:shd w:fill="F8FAFC"/>
            <w:vAlign w:val="center"/>
          </w:tcPr>
          <w:p>
            <w:pPr>
              <w:spacing w:after="0"/>
              <w:jc w:val="left"/>
            </w:pPr>
            <w:r>
              <w:rPr>
                <w:rFonts w:ascii="Aptos" w:hAnsi="Aptos"/>
                <w:b w:val="0"/>
                <w:i w:val="0"/>
                <w:color w:val="1F2937"/>
                <w:sz w:val="17"/>
              </w:rPr>
              <w:t>Prepared Pipecat bilingual realtime model</w:t>
            </w:r>
          </w:p>
        </w:tc>
        <w:tc>
          <w:tcPr>
            <w:tcW w:type="dxa" w:w="3456"/>
            <w:shd w:fill="F8FAFC"/>
            <w:vAlign w:val="center"/>
          </w:tcPr>
          <w:p>
            <w:pPr>
              <w:spacing w:after="0"/>
              <w:jc w:val="left"/>
            </w:pPr>
            <w:r>
              <w:rPr>
                <w:rFonts w:ascii="Aptos" w:hAnsi="Aptos"/>
                <w:b w:val="0"/>
                <w:i w:val="0"/>
                <w:color w:val="1F2937"/>
                <w:sz w:val="17"/>
              </w:rPr>
              <w:t>System prompt directs Iraqi Arabic and English switching.</w:t>
            </w:r>
          </w:p>
        </w:tc>
      </w:tr>
      <w:tr>
        <w:tc>
          <w:tcPr>
            <w:tcW w:type="dxa" w:w="2232"/>
            <w:shd w:fill="FFFFFF"/>
            <w:vAlign w:val="center"/>
          </w:tcPr>
          <w:p>
            <w:pPr>
              <w:spacing w:after="0"/>
              <w:jc w:val="left"/>
            </w:pPr>
            <w:r>
              <w:rPr>
                <w:rFonts w:ascii="Aptos" w:hAnsi="Aptos"/>
                <w:b w:val="0"/>
                <w:i w:val="0"/>
                <w:color w:val="1F2937"/>
                <w:sz w:val="17"/>
              </w:rPr>
              <w:t>Vitest + Python unittest</w:t>
            </w:r>
          </w:p>
        </w:tc>
        <w:tc>
          <w:tcPr>
            <w:tcW w:type="dxa" w:w="3672"/>
            <w:shd w:fill="FFFFFF"/>
            <w:vAlign w:val="center"/>
          </w:tcPr>
          <w:p>
            <w:pPr>
              <w:spacing w:after="0"/>
              <w:jc w:val="left"/>
            </w:pPr>
            <w:r>
              <w:rPr>
                <w:rFonts w:ascii="Aptos" w:hAnsi="Aptos"/>
                <w:b w:val="0"/>
                <w:i w:val="0"/>
                <w:color w:val="1F2937"/>
                <w:sz w:val="17"/>
              </w:rPr>
              <w:t>Automated regression checks</w:t>
            </w:r>
          </w:p>
        </w:tc>
        <w:tc>
          <w:tcPr>
            <w:tcW w:type="dxa" w:w="3456"/>
            <w:shd w:fill="FFFFFF"/>
            <w:vAlign w:val="center"/>
          </w:tcPr>
          <w:p>
            <w:pPr>
              <w:spacing w:after="0"/>
              <w:jc w:val="left"/>
            </w:pPr>
            <w:r>
              <w:rPr>
                <w:rFonts w:ascii="Aptos" w:hAnsi="Aptos"/>
                <w:b w:val="0"/>
                <w:i w:val="0"/>
                <w:color w:val="1F2937"/>
                <w:sz w:val="17"/>
              </w:rPr>
              <w:t>27 Vitest files/298 tests and 4 Pipecat tests passed.</w:t>
            </w:r>
          </w:p>
        </w:tc>
      </w:tr>
    </w:tbl>
    <w:p>
      <w:pPr>
        <w:spacing w:after="0"/>
      </w:pPr>
    </w:p>
    <w:p>
      <w:pPr>
        <w:pStyle w:val="Heading2"/>
        <w:keepNext/>
      </w:pPr>
      <w:r>
        <w:rPr>
          <w:rFonts w:ascii="Aptos" w:hAnsi="Aptos"/>
          <w:b/>
          <w:i w:val="0"/>
          <w:color w:val="2E74B5"/>
          <w:sz w:val="26"/>
        </w:rPr>
        <w:t>Final recommendation</w:t>
      </w:r>
    </w:p>
    <w:p>
      <w:pPr>
        <w:spacing w:after="120" w:line="264" w:lineRule="auto"/>
      </w:pPr>
      <w:r>
        <w:rPr>
          <w:rFonts w:ascii="Aptos" w:hAnsi="Aptos"/>
          <w:b w:val="0"/>
          <w:i w:val="0"/>
          <w:color w:val="1F2937"/>
          <w:sz w:val="21"/>
        </w:rPr>
        <w:t>Treat the existing AI Doctor as the behavioral and scoring engine, the human roleplay as the measurement benchmark, and Pipecat as the realtime media layer. The next release should focus on one reliable end-to-end session: Iraqi Arabic or English speech, a consistent doctor persona, a persisted transcript, a grounded outcome and a scorecard that can be explained to the rep.</w:t>
      </w:r>
    </w:p>
    <w:p>
      <w:pPr>
        <w:spacing w:before="240"/>
        <w:jc w:val="center"/>
      </w:pPr>
      <w:r>
        <w:rPr>
          <w:rFonts w:ascii="Aptos" w:hAnsi="Aptos"/>
          <w:b/>
          <w:i w:val="0"/>
          <w:color w:val="1F7A5A"/>
          <w:sz w:val="24"/>
        </w:rPr>
        <w:t>Recommended next milestone: one staging pilot with 5–10 reps and 20 Iraqi Arabic QA sessions.</w:t>
      </w:r>
    </w:p>
    <w:sectPr w:rsidR="00FC693F" w:rsidRPr="0006063C" w:rsidSect="00034616">
      <w:headerReference w:type="default" r:id="rId9"/>
      <w:footerReference w:type="default" r:id="rId10"/>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748B"/>
        <w:sz w:val="16"/>
      </w:rPr>
      <w:t>AI Doctor + Live Roleplay Evaluation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4748B"/>
        <w:sz w:val="16"/>
      </w:rPr>
      <w:t>STYLESHIFT | PRODUCT QUALITY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18A8A"/>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StyleShift AI Doctor and Live Roleplay Evaluation</dc:title>
  <dc:subject>Features, quality, measurements and priorities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