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300"/>
      </w:pPr>
    </w:p>
    <w:p>
      <w:pPr>
        <w:spacing w:after="120"/>
        <w:jc w:val="center"/>
      </w:pPr>
      <w:r>
        <w:rPr>
          <w:rFonts w:ascii="Calibri" w:cs="Calibri" w:eastAsia="Calibri" w:hAnsi="Calibri"/>
          <w:b/>
          <w:bCs/>
          <w:color w:val="0E4C45"/>
          <w:sz w:val="84"/>
          <w:szCs w:val="84"/>
        </w:rPr>
        <w:t xml:space="preserve">MeridianIQ</w:t>
      </w:r>
    </w:p>
    <w:p>
      <w:pPr>
        <w:spacing w:after="240"/>
        <w:jc w:val="center"/>
      </w:pPr>
      <w:r>
        <w:rPr>
          <w:rFonts w:ascii="Calibri" w:cs="Calibri" w:eastAsia="Calibri" w:hAnsi="Calibri"/>
          <w:b/>
          <w:bCs/>
          <w:color w:val="0A3833"/>
          <w:sz w:val="42"/>
          <w:szCs w:val="42"/>
        </w:rPr>
        <w:t xml:space="preserve">Clerk and the ProofGraph Track</w:t>
      </w:r>
    </w:p>
    <w:p>
      <w:pPr>
        <w:spacing w:after="520"/>
        <w:jc w:val="center"/>
      </w:pPr>
      <w:r>
        <w:rPr>
          <w:rFonts w:ascii="Calibri" w:cs="Calibri" w:eastAsia="Calibri" w:hAnsi="Calibri"/>
          <w:color w:val="5A5A5A"/>
          <w:sz w:val="26"/>
          <w:szCs w:val="26"/>
        </w:rPr>
        <w:t xml:space="preserve">AI Feature Brief — the hands now, the brain later, and the leash on both</w:t>
      </w:r>
    </w:p>
    <w:p>
      <w:pPr>
        <w:spacing w:after="140"/>
        <w:jc w:val="center"/>
      </w:pPr>
      <w:r>
        <w:rPr>
          <w:rFonts w:ascii="Calibri" w:cs="Calibri" w:eastAsia="Calibri" w:hAnsi="Calibri"/>
          <w:b/>
          <w:bCs/>
          <w:color w:val="C9A227"/>
          <w:sz w:val="20"/>
          <w:szCs w:val="20"/>
        </w:rPr>
        <w:t xml:space="preserve">COMPANION TO ROADMAP v1.1 AND TRD v1.1</w:t>
      </w:r>
    </w:p>
    <w:p>
      <w:pPr>
        <w:spacing w:after="2700"/>
        <w:jc w:val="center"/>
      </w:pPr>
      <w:r>
        <w:rPr>
          <w:rFonts w:ascii="Calibri" w:cs="Calibri" w:eastAsia="Calibri" w:hAnsi="Calibri"/>
          <w:color w:val="5A5A5A"/>
          <w:sz w:val="22"/>
          <w:szCs w:val="22"/>
        </w:rPr>
        <w:t xml:space="preserve">Version 1.0  ·  July 2026  ·  Lagos, Nigeria</w:t>
      </w:r>
    </w:p>
    <w:p>
      <w:pPr>
        <w:jc w:val="center"/>
      </w:pPr>
      <w:r>
        <w:rPr>
          <w:rFonts w:ascii="Calibri" w:cs="Calibri" w:eastAsia="Calibri" w:hAnsi="Calibri"/>
          <w:i/>
          <w:iCs/>
          <w:color w:val="5A5A5A"/>
          <w:sz w:val="18"/>
          <w:szCs w:val="18"/>
        </w:rPr>
        <w:t xml:space="preserve">Confidential. This brief supersedes the AI failure-explainer candidate line in Roadmap v1.1 R2. Every capability below is evidence-gated; nothing ships on the calendar alone.</w:t>
      </w:r>
    </w:p>
    <w:p>
      <w:r>
        <w:br w:type="page"/>
      </w:r>
    </w:p>
    <w:p>
      <w:pPr>
        <w:pStyle w:val="Heading1"/>
      </w:pPr>
      <w:r>
        <w:t xml:space="preserve">Contents</w:t>
      </w:r>
    </w:p>
    <w:p>
      <w:pPr>
        <w:spacing w:after="90" w:line="276"/>
        <w:jc w:val="left"/>
      </w:pPr>
      <w:r>
        <w:rPr>
          <w:rFonts w:ascii="Calibri" w:cs="Calibri" w:eastAsia="Calibri" w:hAnsi="Calibri"/>
          <w:b w:val="false"/>
          <w:bCs w:val="false"/>
          <w:i w:val="false"/>
          <w:iCs w:val="false"/>
          <w:color w:val="222222"/>
          <w:sz w:val="23"/>
          <w:szCs w:val="23"/>
        </w:rPr>
        <w:t xml:space="preserve">1.  Purpose, Provenance and the Governing Rule</w:t>
      </w:r>
    </w:p>
    <w:p>
      <w:pPr>
        <w:spacing w:after="90" w:line="276"/>
        <w:jc w:val="left"/>
      </w:pPr>
      <w:r>
        <w:rPr>
          <w:rFonts w:ascii="Calibri" w:cs="Calibri" w:eastAsia="Calibri" w:hAnsi="Calibri"/>
          <w:b w:val="false"/>
          <w:bCs w:val="false"/>
          <w:i w:val="false"/>
          <w:iCs w:val="false"/>
          <w:color w:val="222222"/>
          <w:sz w:val="23"/>
          <w:szCs w:val="23"/>
        </w:rPr>
        <w:t xml:space="preserve">2.  The Two-Layer Thesis: Hands Now, Brain Later</w:t>
      </w:r>
    </w:p>
    <w:p>
      <w:pPr>
        <w:spacing w:after="90" w:line="276"/>
        <w:jc w:val="left"/>
      </w:pPr>
      <w:r>
        <w:rPr>
          <w:rFonts w:ascii="Calibri" w:cs="Calibri" w:eastAsia="Calibri" w:hAnsi="Calibri"/>
          <w:b w:val="false"/>
          <w:bCs w:val="false"/>
          <w:i w:val="false"/>
          <w:iCs w:val="false"/>
          <w:color w:val="222222"/>
          <w:sz w:val="23"/>
          <w:szCs w:val="23"/>
        </w:rPr>
        <w:t xml:space="preserve">3.  Clerk — the AI Compliance Operator</w:t>
      </w:r>
    </w:p>
    <w:p>
      <w:pPr>
        <w:spacing w:after="90" w:line="276"/>
        <w:jc w:val="left"/>
      </w:pPr>
      <w:r>
        <w:rPr>
          <w:rFonts w:ascii="Calibri" w:cs="Calibri" w:eastAsia="Calibri" w:hAnsi="Calibri"/>
          <w:b w:val="false"/>
          <w:bCs w:val="false"/>
          <w:i w:val="false"/>
          <w:iCs w:val="false"/>
          <w:color w:val="222222"/>
          <w:sz w:val="23"/>
          <w:szCs w:val="23"/>
        </w:rPr>
        <w:t xml:space="preserve">4.  Clerk Requirements (AI-01 to AI-09)</w:t>
      </w:r>
    </w:p>
    <w:p>
      <w:pPr>
        <w:spacing w:after="90" w:line="276"/>
        <w:jc w:val="left"/>
      </w:pPr>
      <w:r>
        <w:rPr>
          <w:rFonts w:ascii="Calibri" w:cs="Calibri" w:eastAsia="Calibri" w:hAnsi="Calibri"/>
          <w:b w:val="false"/>
          <w:bCs w:val="false"/>
          <w:i w:val="false"/>
          <w:iCs w:val="false"/>
          <w:color w:val="222222"/>
          <w:sz w:val="23"/>
          <w:szCs w:val="23"/>
        </w:rPr>
        <w:t xml:space="preserve">5.  The ProofGraph Track: Five Stages, Each Behind a Gate</w:t>
      </w:r>
    </w:p>
    <w:p>
      <w:pPr>
        <w:spacing w:after="90" w:line="276"/>
        <w:jc w:val="left"/>
      </w:pPr>
      <w:r>
        <w:rPr>
          <w:rFonts w:ascii="Calibri" w:cs="Calibri" w:eastAsia="Calibri" w:hAnsi="Calibri"/>
          <w:b w:val="false"/>
          <w:bCs w:val="false"/>
          <w:i w:val="false"/>
          <w:iCs w:val="false"/>
          <w:color w:val="222222"/>
          <w:sz w:val="23"/>
          <w:szCs w:val="23"/>
        </w:rPr>
        <w:t xml:space="preserve">6.  Consent, Embargo and Residency Mapping</w:t>
      </w:r>
    </w:p>
    <w:p>
      <w:pPr>
        <w:spacing w:after="90" w:line="276"/>
        <w:jc w:val="left"/>
      </w:pPr>
      <w:r>
        <w:rPr>
          <w:rFonts w:ascii="Calibri" w:cs="Calibri" w:eastAsia="Calibri" w:hAnsi="Calibri"/>
          <w:b w:val="false"/>
          <w:bCs w:val="false"/>
          <w:i w:val="false"/>
          <w:iCs w:val="false"/>
          <w:color w:val="222222"/>
          <w:sz w:val="23"/>
          <w:szCs w:val="23"/>
        </w:rPr>
        <w:t xml:space="preserve">7.  Commercial Model and Financial-Model Impact</w:t>
      </w:r>
    </w:p>
    <w:p>
      <w:pPr>
        <w:spacing w:after="90" w:line="276"/>
        <w:jc w:val="left"/>
      </w:pPr>
      <w:r>
        <w:rPr>
          <w:rFonts w:ascii="Calibri" w:cs="Calibri" w:eastAsia="Calibri" w:hAnsi="Calibri"/>
          <w:b w:val="false"/>
          <w:bCs w:val="false"/>
          <w:i w:val="false"/>
          <w:iCs w:val="false"/>
          <w:color w:val="222222"/>
          <w:sz w:val="23"/>
          <w:szCs w:val="23"/>
        </w:rPr>
        <w:t xml:space="preserve">8.  Gates and Kill Checks</w:t>
      </w:r>
    </w:p>
    <w:p>
      <w:pPr>
        <w:spacing w:after="90" w:line="276"/>
        <w:jc w:val="left"/>
      </w:pPr>
      <w:r>
        <w:rPr>
          <w:rFonts w:ascii="Calibri" w:cs="Calibri" w:eastAsia="Calibri" w:hAnsi="Calibri"/>
          <w:b w:val="false"/>
          <w:bCs w:val="false"/>
          <w:i w:val="false"/>
          <w:iCs w:val="false"/>
          <w:color w:val="222222"/>
          <w:sz w:val="23"/>
          <w:szCs w:val="23"/>
        </w:rPr>
        <w:t xml:space="preserve">9.  Open Questions for Counsel and Partners</w:t>
      </w:r>
    </w:p>
    <w:p>
      <w:pPr>
        <w:spacing w:after="90" w:line="276"/>
        <w:jc w:val="left"/>
      </w:pPr>
      <w:r>
        <w:rPr>
          <w:rFonts w:ascii="Calibri" w:cs="Calibri" w:eastAsia="Calibri" w:hAnsi="Calibri"/>
          <w:b w:val="false"/>
          <w:bCs w:val="false"/>
          <w:i w:val="false"/>
          <w:iCs w:val="false"/>
          <w:color w:val="222222"/>
          <w:sz w:val="23"/>
          <w:szCs w:val="23"/>
        </w:rPr>
        <w:t xml:space="preserve">Appendix A: A Ninety-Second Interaction, Scripted</w:t>
      </w:r>
    </w:p>
    <w:p>
      <w:r>
        <w:br w:type="page"/>
      </w:r>
    </w:p>
    <w:p>
      <w:pPr>
        <w:pStyle w:val="Heading1"/>
      </w:pPr>
      <w:r>
        <w:t xml:space="preserve">1. Purpose, Provenance and the Governing Rule</w:t>
      </w:r>
    </w:p>
    <w:p>
      <w:pPr>
        <w:spacing w:after="140" w:line="276"/>
        <w:jc w:val="both"/>
      </w:pPr>
      <w:r>
        <w:rPr>
          <w:rFonts w:ascii="Calibri" w:cs="Calibri" w:eastAsia="Calibri" w:hAnsi="Calibri"/>
          <w:b w:val="false"/>
          <w:bCs w:val="false"/>
          <w:i w:val="false"/>
          <w:iCs w:val="false"/>
          <w:color w:val="222222"/>
          <w:sz w:val="22"/>
          <w:szCs w:val="22"/>
        </w:rPr>
        <w:t xml:space="preserve">This brief specifies MeridianIQ's AI capability as two layers built in a mandatory order: Clerk, an AI compliance operator that ships first because it needs no outcome data, and ProofGraph, the intelligence layer that ships later because it needs exactly the outcome data Clerk manufactures. It absorbs and replaces the AI failure-explainer candidate line in Roadmap v1.1 R2, and it binds itself to the standing rules of the stack: the claims-governance regime of the Marketing and Sales Strategy, the messaging boundary of TRD SEC-12, the rules-first fraud discipline of CR-02, the three-layer consent architecture, and the credit-language embargo that holds until R4 is live.</w:t>
      </w:r>
    </w:p>
    <w:p>
      <w:pPr>
        <w:spacing w:after="140" w:line="276"/>
        <w:jc w:val="both"/>
      </w:pPr>
      <w:r>
        <w:rPr>
          <w:rFonts w:ascii="Calibri" w:cs="Calibri" w:eastAsia="Calibri" w:hAnsi="Calibri"/>
          <w:b w:val="false"/>
          <w:bCs w:val="false"/>
          <w:i w:val="false"/>
          <w:iCs w:val="false"/>
          <w:color w:val="222222"/>
          <w:sz w:val="22"/>
          <w:szCs w:val="22"/>
        </w:rPr>
        <w:t xml:space="preserve">Provenance, stated plainly. Two AI-generated feature proposals informed this brief: an internal one (Clerk) and an external one (ProofGraph AI, July 2026), which independently re-derived the company's outcome-graph thesis — its evidence chain is the append-only lifecycle of TRD CORE-02 almost line for line. This brief adopts from the external proposal its name for the intelligence layer, its green-amber-red status UX in deterministic form, and its safeguards standard, while re-sequencing its predictive claims behind the outcome gate CR-02 already imposes. Neither proposal has met a user; both are hypotheses with test dates, and the synthetic-validation caveat of the fourth pressure test applies to this document too.</w:t>
      </w:r>
    </w:p>
    <w:p>
      <w:pPr>
        <w:pBdr>
          <w:top w:val="single" w:color="DDE7E4" w:sz="2" w:space="4"/>
          <w:bottom w:val="single" w:color="DDE7E4" w:sz="2" w:space="4"/>
          <w:left w:val="single" w:color="C9A227" w:sz="24" w:space="8"/>
          <w:right w:val="single" w:color="DDE7E4" w:sz="2" w:space="4"/>
        </w:pBdr>
        <w:shd w:fill="F2F6F5" w:color="auto" w:val="clear"/>
        <w:spacing w:after="200" w:before="160" w:line="276"/>
        <w:ind w:left="120" w:right="120"/>
        <w:jc w:val="left"/>
      </w:pPr>
      <w:r>
        <w:rPr>
          <w:rFonts w:ascii="Calibri" w:cs="Calibri" w:eastAsia="Calibri" w:hAnsi="Calibri"/>
          <w:b/>
          <w:bCs/>
          <w:i w:val="false"/>
          <w:iCs w:val="false"/>
          <w:color w:val="0A3833"/>
          <w:sz w:val="22"/>
          <w:szCs w:val="22"/>
        </w:rPr>
        <w:t xml:space="preserve">The governing rule, from which everything else follows: </w:t>
      </w:r>
      <w:r>
        <w:rPr>
          <w:rFonts w:ascii="Calibri" w:cs="Calibri" w:eastAsia="Calibri" w:hAnsi="Calibri"/>
          <w:b w:val="false"/>
          <w:bCs w:val="false"/>
          <w:i w:val="false"/>
          <w:iCs w:val="false"/>
          <w:color w:val="333333"/>
          <w:sz w:val="22"/>
          <w:szCs w:val="22"/>
        </w:rPr>
        <w:t xml:space="preserve">MeridianIQ's AI is structurally incapable of guessing. Any factual claim it states is retrieved, with citation, from the claims register, the error catalogue, or the client's own stamped-invoice spine — or it is not stated, and a human is called. In a market that has learned to distrust confident software, the refusal is the feature.</w:t>
      </w:r>
    </w:p>
    <w:p>
      <w:pPr>
        <w:pStyle w:val="Heading1"/>
      </w:pPr>
      <w:r>
        <w:t xml:space="preserve">2. The Two-Layer Thesis: Hands Now, Brain Later</w:t>
      </w:r>
    </w:p>
    <w:p>
      <w:pPr>
        <w:spacing w:after="140" w:line="276"/>
        <w:jc w:val="both"/>
      </w:pPr>
      <w:r>
        <w:rPr>
          <w:rFonts w:ascii="Calibri" w:cs="Calibri" w:eastAsia="Calibri" w:hAnsi="Calibri"/>
          <w:b w:val="false"/>
          <w:bCs w:val="false"/>
          <w:i w:val="false"/>
          <w:iCs w:val="false"/>
          <w:color w:val="222222"/>
          <w:sz w:val="22"/>
          <w:szCs w:val="22"/>
        </w:rPr>
        <w:t xml:space="preserve">Every competitor can bolt a chatbot onto a compliance product, and within a year most will. Two things they cannot bolt on: grounding corpora that took a year of paid engagements to earn, and a labeled outcome history that only accrues to whoever runs the workflow. Clerk is the workflow layer — capture, completion, submission support, rejection translation, deadline nudges, and buyer-confirmation chasing — grounded in deterministic sources that exist today. ProofGraph is the intelligence layer — anomaly rules, eligibility, scoring, and eventually calibrated prediction — and its entire raw material is what Clerk produces as exhaust: every extraction a human corrects, every rejection resolved through the catalogue, every confirmation chased out of a buyer, every settlement matched, is a labeled outcome. Build them in the wrong order and the brain has no memories; build them in this order and the operational feature funds and feeds the strategic one. Clerk earns the operator-ratio economics of the Compliance Desk; ProofGraph earns the underwriting credibility of Act Three; the dependency runs one way.</w:t>
      </w:r>
    </w:p>
    <w:p>
      <w:pPr>
        <w:pStyle w:val="Heading1"/>
      </w:pPr>
      <w:r>
        <w:t xml:space="preserve">3. Clerk — the AI Compliance Operator</w:t>
      </w:r>
    </w:p>
    <w:p>
      <w:pPr>
        <w:pStyle w:val="Heading2"/>
      </w:pPr>
      <w:r>
        <w:t xml:space="preserve">3.1 What it is</w:t>
      </w:r>
    </w:p>
    <w:p>
      <w:pPr>
        <w:spacing w:after="140" w:line="276"/>
        <w:jc w:val="both"/>
      </w:pPr>
      <w:r>
        <w:rPr>
          <w:rFonts w:ascii="Calibri" w:cs="Calibri" w:eastAsia="Calibri" w:hAnsi="Calibri"/>
          <w:b w:val="false"/>
          <w:bCs w:val="false"/>
          <w:i w:val="false"/>
          <w:iCs w:val="false"/>
          <w:color w:val="222222"/>
          <w:sz w:val="22"/>
          <w:szCs w:val="22"/>
        </w:rPr>
        <w:t xml:space="preserve">Clerk is the named operator inside the Compliance Desk tier: a retrieval-locked assistant that works over WhatsApp and in-app chat, in Nigerian English, Pidgin, Yoruba and Hausa, and that does the work rather than describing it. Its grounding triad: the counsel-approved claims register (the only source from which it may quote a penalty, a deadline or a threshold, always with the statute section attached), the living error catalogue (the only source from which it may explain a rejection), and the client's own spine (the only source from which it may state anything about the client's invoices, balances of risk, or history). Anything outside the triad triggers one behaviour: escalation to a human Desk operator, logged, with the honest sentence that it does not know. Clerk never freelances a fact, never speculates, and never fills a low-confidence field by guessing — it asks.</w:t>
      </w:r>
    </w:p>
    <w:p>
      <w:pPr>
        <w:pStyle w:val="Heading2"/>
      </w:pPr>
      <w:r>
        <w:t xml:space="preserve">3.2 What it does, day one</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2313"/>
        <w:gridCol w:w="5012"/>
        <w:gridCol w:w="2313"/>
      </w:tblGrid>
      <w:tr>
        <w:trPr>
          <w:tblHeader/>
        </w:trPr>
        <w:tc>
          <w:tcPr>
            <w:tcW w:type="dxa" w:w="2313"/>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Capability</w:t>
            </w:r>
          </w:p>
        </w:tc>
        <w:tc>
          <w:tcPr>
            <w:tcW w:type="dxa" w:w="5012"/>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Behaviour</w:t>
            </w:r>
          </w:p>
        </w:tc>
        <w:tc>
          <w:tcPr>
            <w:tcW w:type="dxa" w:w="2313"/>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Grounding</w:t>
            </w:r>
          </w:p>
        </w:tc>
      </w:tr>
      <w:tr>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Capture anywhere</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photo of a paper invoice or a voice note in Pidgin arrives on WhatsApp; Clerk extracts it into the 55-field canonical model with per-field confidence.</w:t>
            </w:r>
          </w:p>
        </w:tc>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Extraction model + spine schema</w:t>
            </w:r>
          </w:p>
        </w:tc>
      </w:tr>
      <w:tr>
        <w:tc>
          <w:tcPr>
            <w:tcW w:type="dxa" w:w="231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Gap interrogation</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Missing or low-confidence fields are asked for, one message at a time, in the client's language — never auto-filled. The buyer TIN is missing, send am make I finish.</w:t>
            </w:r>
          </w:p>
        </w:tc>
        <w:tc>
          <w:tcPr>
            <w:tcW w:type="dxa" w:w="231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Spine + validation rules</w:t>
            </w:r>
          </w:p>
        </w:tc>
      </w:tr>
      <w:tr>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Queue, never submit</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Completed invoices enter the operator queue; on the Desk tier a human approves before anything touches the national platform.</w:t>
            </w:r>
          </w:p>
        </w:tc>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AI-04 human-in-the-loop</w:t>
            </w:r>
          </w:p>
        </w:tc>
      </w:tr>
      <w:tr>
        <w:tc>
          <w:tcPr>
            <w:tcW w:type="dxa" w:w="231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Rejection translation</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Any MBS failure comes back as the catalogue's plain-language cause and fix, in the client's language, with the exact field named.</w:t>
            </w:r>
          </w:p>
        </w:tc>
        <w:tc>
          <w:tcPr>
            <w:tcW w:type="dxa" w:w="231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Error catalogue</w:t>
            </w:r>
          </w:p>
        </w:tc>
      </w:tr>
      <w:tr>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Deadline nudges</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Compliance-calendar alerts as pointers only, per SEC-12: three invoices need attention — open the app. Never amounts, names or documents in a message.</w:t>
            </w:r>
          </w:p>
        </w:tc>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Compliance clocks + SEC-12</w:t>
            </w:r>
          </w:p>
        </w:tc>
      </w:tr>
      <w:tr>
        <w:tc>
          <w:tcPr>
            <w:tcW w:type="dxa" w:w="231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Confirmation chasing</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On Buyer Rails, Clerk politely and persistently chases buyer-side confirmations in the buyer clerk's language, with cadence caps and opt-out — attacking Act Three's true bottleneck.</w:t>
            </w:r>
          </w:p>
        </w:tc>
        <w:tc>
          <w:tcPr>
            <w:tcW w:type="dxa" w:w="231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Buyer Rails workflow</w:t>
            </w:r>
          </w:p>
        </w:tc>
      </w:tr>
      <w:tr>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Register-only answers</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Asked what the fine for late B2C reporting is, Clerk answers with the naira figure and the section number. Asked anything outside the register, it declines and offers a human.</w:t>
            </w:r>
          </w:p>
        </w:tc>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Claims register</w:t>
            </w:r>
          </w:p>
        </w:tc>
      </w:tr>
    </w:tbl>
    <w:p>
      <w:pPr>
        <w:spacing w:after="120"/>
      </w:pPr>
    </w:p>
    <w:p>
      <w:pPr>
        <w:pStyle w:val="Heading2"/>
      </w:pPr>
      <w:r>
        <w:t xml:space="preserve">3.3 The status lights (adopted from the external proposal, in deterministic form)</w:t>
      </w:r>
    </w:p>
    <w:p>
      <w:pPr>
        <w:spacing w:after="140" w:line="276"/>
        <w:jc w:val="both"/>
      </w:pPr>
      <w:r>
        <w:rPr>
          <w:rFonts w:ascii="Calibri" w:cs="Calibri" w:eastAsia="Calibri" w:hAnsi="Calibri"/>
          <w:b w:val="false"/>
          <w:bCs w:val="false"/>
          <w:i w:val="false"/>
          <w:iCs w:val="false"/>
          <w:color w:val="222222"/>
          <w:sz w:val="22"/>
          <w:szCs w:val="22"/>
        </w:rPr>
        <w:t xml:space="preserve">Every invoice carries a green, amber or red status with reason codes and a recommended action — the external proposal's best UX idea, kept, with one surgical change: in Clerk the lights are driven entirely by rules over the spine, never by probabilities, because the model has no outcomes to calibrate against yet and the brand cannot afford a confident wrong percentage. Green: all mandatory fields valid, buyer known, treatment consistent with this client's history. Amber: something checkable is off — buyer TIN unconfirmed, VAT treatment differs from the last invoice to this buyer, no purchase-order reference on a buyer that usually supplies one. Red: a rule is breached — a mandatory field fails validation, a duplicate is detected, the buyer is flagged. Each light lists its reason codes and the corrective actions, and the user may accept the fixes, edit, or send to the accountant. No number that looks like a prediction appears anywhere in version one; the day predictions appear is governed by the ProofGraph track in Section 5, not by enthusiasm.</w:t>
      </w:r>
    </w:p>
    <w:p>
      <w:pPr>
        <w:pStyle w:val="Heading2"/>
      </w:pPr>
      <w:r>
        <w:t xml:space="preserve">3.4 What Clerk will never do</w:t>
      </w:r>
    </w:p>
    <w:p>
      <w:pPr>
        <w:spacing w:after="140" w:line="276"/>
        <w:jc w:val="both"/>
      </w:pPr>
      <w:r>
        <w:rPr>
          <w:rFonts w:ascii="Calibri" w:cs="Calibri" w:eastAsia="Calibri" w:hAnsi="Calibri"/>
          <w:b w:val="false"/>
          <w:bCs w:val="false"/>
          <w:i w:val="false"/>
          <w:iCs w:val="false"/>
          <w:color w:val="222222"/>
          <w:sz w:val="22"/>
          <w:szCs w:val="22"/>
        </w:rPr>
        <w:t xml:space="preserve">Never state a figure absent from the claims register, and never a claim without its citation. Never guess a field value. Never place invoice data, amounts, counterparties or documents in an outbound message (SEC-12: alerts are pointers into the authenticated app). Never discuss financing, credit, loans or early payment before the R4 embargo lifts — the scripted deflection from the Marketing appendix is Clerk's verbatim response, and the interest is logged. Never submit on the Desk tier without a human approve. Never impersonate a human: Clerk announces what it is on first contact and on request. And never learn across tenants from identifiable data: cross-client improvement uses only the layer-two aggregated corpus, per the consent architecture.</w:t>
      </w:r>
    </w:p>
    <w:p>
      <w:pPr>
        <w:pStyle w:val="Heading1"/>
      </w:pPr>
      <w:r>
        <w:t xml:space="preserve">4. Clerk Requirements (AI-01 to AI-09)</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964"/>
        <w:gridCol w:w="5205"/>
        <w:gridCol w:w="1157"/>
        <w:gridCol w:w="2312"/>
      </w:tblGrid>
      <w:tr>
        <w:trPr>
          <w:tblHeader/>
        </w:trPr>
        <w:tc>
          <w:tcPr>
            <w:tcW w:type="dxa" w:w="96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ID</w:t>
            </w:r>
          </w:p>
        </w:tc>
        <w:tc>
          <w:tcPr>
            <w:tcW w:type="dxa" w:w="5205"/>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Requirement</w:t>
            </w:r>
          </w:p>
        </w:tc>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Release</w:t>
            </w:r>
          </w:p>
        </w:tc>
        <w:tc>
          <w:tcPr>
            <w:tcW w:type="dxa" w:w="2312"/>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Acceptance criterion</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AI-01</w:t>
            </w:r>
          </w:p>
        </w:tc>
        <w:tc>
          <w:tcPr>
            <w:tcW w:type="dxa" w:w="520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Grounding lock: every factual claim in a Clerk output must be retrieved from the claims register, the error catalogue or the requesting client's spine, with a machine-readable citation stored alongside the output; an unmatched query produces a refusal plus human escalation, never a generated answer.</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 (gated)</w:t>
            </w:r>
          </w:p>
        </w:tc>
        <w:tc>
          <w:tcPr>
            <w:tcW w:type="dxa" w:w="23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monthly audit of sampled conversations finds zero unsupported factual claims; every claim in the sample resolves to its source.</w:t>
            </w:r>
          </w:p>
        </w:tc>
      </w:tr>
      <w:tr>
        <w:tc>
          <w:tcPr>
            <w:tcW w:type="dxa" w:w="96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AI-02</w:t>
            </w:r>
          </w:p>
        </w:tc>
        <w:tc>
          <w:tcPr>
            <w:tcW w:type="dxa" w:w="520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Channels and language: WhatsApp (text, voice notes, images) and in-app chat; Nigerian English, Pidgin, Yoruba and Hausa at launch; all outbound messages obey SEC-12 (pointers only, no invoice or personal data beyond the recipient name).</w:t>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23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Template lint blocks data-bearing outbound; language QA passes with native-speaker review per language.</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AI-03</w:t>
            </w:r>
          </w:p>
        </w:tc>
        <w:tc>
          <w:tcPr>
            <w:tcW w:type="dxa" w:w="520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Extraction with humility: capture into the 55-field canonical model carries per-field confidence; any field below threshold is asked for, never auto-filled; user corrections are stored as labeled outcomes.</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23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On a golden set, no below-threshold field is ever populated without user input; corrections land in the outcome store.</w:t>
            </w:r>
          </w:p>
        </w:tc>
      </w:tr>
      <w:tr>
        <w:tc>
          <w:tcPr>
            <w:tcW w:type="dxa" w:w="96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AI-04</w:t>
            </w:r>
          </w:p>
        </w:tc>
        <w:tc>
          <w:tcPr>
            <w:tcW w:type="dxa" w:w="520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Human-in-the-loop: on the Compliance Desk tier, no submission reaches an APP rail without operator approval; overrides and edits are logged with actor and reason.</w:t>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23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code-path test shows no route from Clerk to submission that bypasses the operator queue.</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AI-05</w:t>
            </w:r>
          </w:p>
        </w:tc>
        <w:tc>
          <w:tcPr>
            <w:tcW w:type="dxa" w:w="520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Deterministic status lights: green, amber and red are produced by a versioned rule engine over the spine, with reason codes and recommended actions; no probabilistic score is displayed in v1.</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23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Every light in a sample reproduces from its rule version and inputs; the UI contains no percentage or score fields.</w:t>
            </w:r>
          </w:p>
        </w:tc>
      </w:tr>
      <w:tr>
        <w:tc>
          <w:tcPr>
            <w:tcW w:type="dxa" w:w="96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AI-06</w:t>
            </w:r>
          </w:p>
        </w:tc>
        <w:tc>
          <w:tcPr>
            <w:tcW w:type="dxa" w:w="520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Confirmation chasing: on Buyer Rails, Clerk sends confirmation reminders in the buyer contact's language with cadence caps, quiet hours, opt-out, and escalation to the account owner after N attempts.</w:t>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R2-R3</w:t>
            </w:r>
          </w:p>
        </w:tc>
        <w:tc>
          <w:tcPr>
            <w:tcW w:type="dxa" w:w="23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Cadence and opt-out honored in tests; chasing lifts confirmation completion measurably in the Deliverable 11 cohort before scale.</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AI-07</w:t>
            </w:r>
          </w:p>
        </w:tc>
        <w:tc>
          <w:tcPr>
            <w:tcW w:type="dxa" w:w="520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Total auditability: every prompt, retrieval, output and action is written to the CORE-05 audit log with model version, prompt version and rule version, reconstructable per conversation.</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23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sampled conversation replays end to end from the log, including the citations shown.</w:t>
            </w:r>
          </w:p>
        </w:tc>
      </w:tr>
      <w:tr>
        <w:tc>
          <w:tcPr>
            <w:tcW w:type="dxa" w:w="96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AI-08</w:t>
            </w:r>
          </w:p>
        </w:tc>
        <w:tc>
          <w:tcPr>
            <w:tcW w:type="dxa" w:w="520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Residency and inference locality [OPEN-6]: no invoice data or personal data leaves Nigeria for model inference absent written counsel sign-off; the default architecture is in-country inference, with counsel-approved redaction as the only alternative path.</w:t>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 blocker</w:t>
            </w:r>
          </w:p>
        </w:tc>
        <w:tc>
          <w:tcPr>
            <w:tcW w:type="dxa" w:w="23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An infrastructure inventory shows where every token is processed; counsel sign-off on file before launch.</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AI-09</w:t>
            </w:r>
          </w:p>
        </w:tc>
        <w:tc>
          <w:tcPr>
            <w:tcW w:type="dxa" w:w="520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Kill checks: one unsupported factual claim found in the monthly audit pauses Clerk pending root-cause; a complaint pattern on chasing pauses AI-06; failure to move the Desk operator ratio within two quarters of launch triggers a scope review.</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23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pause switch is a feature flag exercised in a drill; audit cadence is calendarised.</w:t>
            </w:r>
          </w:p>
        </w:tc>
      </w:tr>
    </w:tbl>
    <w:p>
      <w:pPr>
        <w:spacing w:after="120"/>
      </w:pPr>
    </w:p>
    <w:p>
      <w:pPr>
        <w:pStyle w:val="Heading1"/>
      </w:pPr>
      <w:r>
        <w:t xml:space="preserve">5. The ProofGraph Track: Five Stages, Each Behind a Gate</w:t>
      </w:r>
    </w:p>
    <w:p>
      <w:pPr>
        <w:spacing w:after="140" w:line="276"/>
        <w:jc w:val="both"/>
      </w:pPr>
      <w:r>
        <w:rPr>
          <w:rFonts w:ascii="Calibri" w:cs="Calibri" w:eastAsia="Calibri" w:hAnsi="Calibri"/>
          <w:b w:val="false"/>
          <w:bCs w:val="false"/>
          <w:i w:val="false"/>
          <w:iCs w:val="false"/>
          <w:color w:val="222222"/>
          <w:sz w:val="22"/>
          <w:szCs w:val="22"/>
        </w:rPr>
        <w:t xml:space="preserve">ProofGraph is the adopted name for the intelligence layer the roadmap already builds — the fraud rules of CR-02, the eligibility engine of CR-01, the scorecard of CR-03 and the bank data room of CR-04, sitting on the outcome graph that the append-only lifecycle of CORE-02 is. The external proposal's contribution is the framing and the destination; the stack's contribution is the order and the leash. The track below states, stage by stage, what turns on, what gate opens it, and what may never be shown before its gate.</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349"/>
        <w:gridCol w:w="3277"/>
        <w:gridCol w:w="2891"/>
        <w:gridCol w:w="2121"/>
      </w:tblGrid>
      <w:tr>
        <w:trPr>
          <w:tblHeader/>
        </w:trPr>
        <w:tc>
          <w:tcPr>
            <w:tcW w:type="dxa" w:w="1349"/>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Stage</w:t>
            </w:r>
          </w:p>
        </w:tc>
        <w:tc>
          <w:tcPr>
            <w:tcW w:type="dxa" w:w="327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What turns on</w:t>
            </w:r>
          </w:p>
        </w:tc>
        <w:tc>
          <w:tcPr>
            <w:tcW w:type="dxa" w:w="289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Gate that opens it</w:t>
            </w:r>
          </w:p>
        </w:tc>
        <w:tc>
          <w:tcPr>
            <w:tcW w:type="dxa" w:w="212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Hard boundary</w:t>
            </w:r>
          </w:p>
        </w:tc>
      </w:tr>
      <w:tr>
        <w:tc>
          <w:tcPr>
            <w:tcW w:type="dxa" w:w="134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Stage 0 — now, with Clerk (R2)</w:t>
            </w:r>
          </w:p>
        </w:tc>
        <w:tc>
          <w:tcPr>
            <w:tcW w:type="dxa" w:w="327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Outcome labeling as exhaust: corrections, resolutions, confirmations, settlement matches accumulate as the training corpus; deterministic status lights ship.</w:t>
            </w:r>
          </w:p>
        </w:tc>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Clerk's own R2 gate (Desk support-load evidence).</w:t>
            </w:r>
          </w:p>
        </w:tc>
        <w:tc>
          <w:tcPr>
            <w:tcW w:type="dxa" w:w="212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 probabilities anywhere; layer-two consent governs aggregated learning.</w:t>
            </w:r>
          </w:p>
        </w:tc>
      </w:tr>
      <w:tr>
        <w:tc>
          <w:tcPr>
            <w:tcW w:type="dxa" w:w="134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Stage 1 — R3 (branded ProofGraph)</w:t>
            </w:r>
          </w:p>
        </w:tc>
        <w:tc>
          <w:tcPr>
            <w:tcW w:type="dxa" w:w="327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Rules-first intelligence: anomaly and duplicate detection, related-party and circular-invoice graph checks, invoice-to-bank matching (SME-07), eligibility engine, scorecard v0, bank data room.</w:t>
            </w:r>
          </w:p>
        </w:tc>
        <w:tc>
          <w:tcPr>
            <w:tcW w:type="dxa" w:w="289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300+ credit-observable businesses and the conditional bank MOU (existing R3 gates).</w:t>
            </w:r>
          </w:p>
        </w:tc>
        <w:tc>
          <w:tcPr>
            <w:tcW w:type="dxa" w:w="212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Statistical performance claims remain forbidden per CR-02; outputs are rules with reason codes.</w:t>
            </w:r>
          </w:p>
        </w:tc>
      </w:tr>
      <w:tr>
        <w:tc>
          <w:tcPr>
            <w:tcW w:type="dxa" w:w="134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Stage 2 — predictive layer</w:t>
            </w:r>
          </w:p>
        </w:tc>
        <w:tc>
          <w:tcPr>
            <w:tcW w:type="dxa" w:w="327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Calibrated prediction, bank-facing first: pre-submission rejection likelihood and payment-delay bands, published with calibration curves and versioned models.</w:t>
            </w:r>
          </w:p>
        </w:tc>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named outcome threshold: enough confirmed settlement and rejection outcomes, across enough quarters, that calibration can be reported honestly — the CR-02 condition, quantified with the design-partner bank.</w:t>
            </w:r>
          </w:p>
        </w:tc>
        <w:tc>
          <w:tcPr>
            <w:tcW w:type="dxa" w:w="212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Nothing predictive is SME-facing until the bank-facing version has survived a full pilot quarter in spec.</w:t>
            </w:r>
          </w:p>
        </w:tc>
      </w:tr>
      <w:tr>
        <w:tc>
          <w:tcPr>
            <w:tcW w:type="dxa" w:w="134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Stage 3 — the Finance-Readiness Passport (R4+)</w:t>
            </w:r>
          </w:p>
        </w:tc>
        <w:tc>
          <w:tcPr>
            <w:tcW w:type="dxa" w:w="327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SME-facing face of the eligibility engine: an explainable, permissioned readiness profile a business may choose to share with a lender.</w:t>
            </w:r>
          </w:p>
        </w:tc>
        <w:tc>
          <w:tcPr>
            <w:tcW w:type="dxa" w:w="289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R4 live, counsel sign-off, layer-three consent per client, and lender validation that the reason codes are underwritable.</w:t>
            </w:r>
          </w:p>
        </w:tc>
        <w:tc>
          <w:tcPr>
            <w:tcW w:type="dxa" w:w="212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lender decides; MeridianIQ supplies evidence and explanations, never a credit decision. The credit-language embargo lifts only here.</w:t>
            </w:r>
          </w:p>
        </w:tc>
      </w:tr>
      <w:tr>
        <w:tc>
          <w:tcPr>
            <w:tcW w:type="dxa" w:w="134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Stage 4 — platform era (R5+)</w:t>
            </w:r>
          </w:p>
        </w:tc>
        <w:tc>
          <w:tcPr>
            <w:tcW w:type="dxa" w:w="327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Per-analysed-invoice API and licensing to platforms, providers and lenders; portfolio monitoring for funders.</w:t>
            </w:r>
          </w:p>
        </w:tc>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Four in-spec quarters and the R5 gates; commercial terms per programme.</w:t>
            </w:r>
          </w:p>
        </w:tc>
        <w:tc>
          <w:tcPr>
            <w:tcW w:type="dxa" w:w="212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consent architecture travels with every record; no data product exists outside it.</w:t>
            </w:r>
          </w:p>
        </w:tc>
      </w:tr>
    </w:tbl>
    <w:p>
      <w:pPr>
        <w:spacing w:after="120"/>
      </w:pPr>
    </w:p>
    <w:p>
      <w:pPr>
        <w:pStyle w:val="Heading2"/>
      </w:pPr>
      <w:r>
        <w:t xml:space="preserve">5.1 The safeguards standard (adopted from the external proposal, credited)</w:t>
      </w:r>
    </w:p>
    <w:p>
      <w:pPr>
        <w:spacing w:after="140" w:line="276"/>
        <w:jc w:val="both"/>
      </w:pPr>
      <w:r>
        <w:rPr>
          <w:rFonts w:ascii="Calibri" w:cs="Calibri" w:eastAsia="Calibri" w:hAnsi="Calibri"/>
          <w:b w:val="false"/>
          <w:bCs w:val="false"/>
          <w:i w:val="false"/>
          <w:iCs w:val="false"/>
          <w:color w:val="222222"/>
          <w:sz w:val="22"/>
          <w:szCs w:val="22"/>
        </w:rPr>
        <w:t xml:space="preserve">From Stage 1 onward, every ProofGraph output carries the external proposal's safeguards as requirements, not aspirations: clear reason codes; the supporting evidence; a confidence statement only where calibration exists to back it; a recommended corrective action; a human-review route; versioned model and rule history so any past decision replays; and user-controlled sharing permissions. The proposal's closing allocation of authority is adopted verbatim in spirit: the lender makes the final credit decision, while MeridianIQ supplies verified evidence and explainable indicators.</w:t>
      </w:r>
    </w:p>
    <w:p>
      <w:pPr>
        <w:pStyle w:val="Heading1"/>
      </w:pPr>
      <w:r>
        <w:t xml:space="preserve">6. Consent, Embargo and Residency Mapping</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2506"/>
        <w:gridCol w:w="4048"/>
        <w:gridCol w:w="3084"/>
      </w:tblGrid>
      <w:tr>
        <w:trPr>
          <w:tblHeader/>
        </w:trPr>
        <w:tc>
          <w:tcPr>
            <w:tcW w:type="dxa" w:w="250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Rule in the stack</w:t>
            </w:r>
          </w:p>
        </w:tc>
        <w:tc>
          <w:tcPr>
            <w:tcW w:type="dxa" w:w="4048"/>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How Clerk and ProofGraph comply</w:t>
            </w:r>
          </w:p>
        </w:tc>
        <w:tc>
          <w:tcPr>
            <w:tcW w:type="dxa" w:w="308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Where enforced</w:t>
            </w:r>
          </w:p>
        </w:tc>
      </w:tr>
      <w:tr>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Three-layer consent (Plan 7.2)</w:t>
            </w:r>
          </w:p>
        </w:tc>
        <w:tc>
          <w:tcPr>
            <w:tcW w:type="dxa" w:w="4048"/>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Clerk's operations on a client's own data are layer one; cross-client learning uses only irreversibly aggregated layer-two data; the Passport and any lender sharing require explicit layer-three consent per client.</w:t>
            </w:r>
          </w:p>
        </w:tc>
        <w:tc>
          <w:tcPr>
            <w:tcW w:type="dxa" w:w="308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CORE-03 permission query on every code path; SEC-07 lint</w:t>
            </w:r>
          </w:p>
        </w:tc>
      </w:tr>
      <w:tr>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SEC-12 messaging boundary</w:t>
            </w:r>
          </w:p>
        </w:tc>
        <w:tc>
          <w:tcPr>
            <w:tcW w:type="dxa" w:w="4048"/>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All outbound Clerk messages are pointers; inbound media is client-initiated and consented, stored on Nigeria-resident infrastructure.</w:t>
            </w:r>
          </w:p>
        </w:tc>
        <w:tc>
          <w:tcPr>
            <w:tcW w:type="dxa" w:w="308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Template lint; media-storage policy</w:t>
            </w:r>
          </w:p>
        </w:tc>
      </w:tr>
      <w:tr>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Credit-language embargo (M&amp;S rules)</w:t>
            </w:r>
          </w:p>
        </w:tc>
        <w:tc>
          <w:tcPr>
            <w:tcW w:type="dxa" w:w="4048"/>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 answers any financing question with the scripted deflection from the Marketing appendix, verbatim, and logs the interest; the embargo lifts only at Stage 3.</w:t>
            </w:r>
          </w:p>
        </w:tc>
        <w:tc>
          <w:tcPr>
            <w:tcW w:type="dxa" w:w="308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Response template set; claims register embargo list</w:t>
            </w:r>
          </w:p>
        </w:tc>
      </w:tr>
      <w:tr>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Claims governance</w:t>
            </w:r>
          </w:p>
        </w:tc>
        <w:tc>
          <w:tcPr>
            <w:tcW w:type="dxa" w:w="4048"/>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 may quote only register entries flagged Clerk-quotable, a new register column; register updates propagate within one working day.</w:t>
            </w:r>
          </w:p>
        </w:tc>
        <w:tc>
          <w:tcPr>
            <w:tcW w:type="dxa" w:w="308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Register schema; AI-01 audit</w:t>
            </w:r>
          </w:p>
        </w:tc>
      </w:tr>
      <w:tr>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Rules-first fraud (CR-02)</w:t>
            </w:r>
          </w:p>
        </w:tc>
        <w:tc>
          <w:tcPr>
            <w:tcW w:type="dxa" w:w="4048"/>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 probabilistic claim before the Stage 2 outcome threshold; the amber example in this brief contains no percentage by design.</w:t>
            </w:r>
          </w:p>
        </w:tc>
        <w:tc>
          <w:tcPr>
            <w:tcW w:type="dxa" w:w="308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AI-05; Stage-2 gate</w:t>
            </w:r>
          </w:p>
        </w:tc>
      </w:tr>
      <w:tr>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Residency (C4, NDPA)</w:t>
            </w:r>
          </w:p>
        </w:tc>
        <w:tc>
          <w:tcPr>
            <w:tcW w:type="dxa" w:w="4048"/>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In-country inference by default; any exception requires the OPEN-6 counsel opinion; voice notes are personal data and follow the same residency and retention policy as invoice media.</w:t>
            </w:r>
          </w:p>
        </w:tc>
        <w:tc>
          <w:tcPr>
            <w:tcW w:type="dxa" w:w="308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AI-08; infrastructure inventory</w:t>
            </w:r>
          </w:p>
        </w:tc>
      </w:tr>
    </w:tbl>
    <w:p>
      <w:pPr>
        <w:spacing w:after="120"/>
      </w:pPr>
    </w:p>
    <w:p>
      <w:pPr>
        <w:pStyle w:val="Heading1"/>
      </w:pPr>
      <w:r>
        <w:t xml:space="preserve">7. Commercial Model and Financial-Model Impact</w:t>
      </w:r>
    </w:p>
    <w:p>
      <w:pPr>
        <w:spacing w:after="140" w:line="276"/>
        <w:jc w:val="both"/>
      </w:pPr>
      <w:r>
        <w:rPr>
          <w:rFonts w:ascii="Calibri" w:cs="Calibri" w:eastAsia="Calibri" w:hAnsi="Calibri"/>
          <w:b w:val="false"/>
          <w:bCs w:val="false"/>
          <w:i w:val="false"/>
          <w:iCs w:val="false"/>
          <w:color w:val="222222"/>
          <w:sz w:val="22"/>
          <w:szCs w:val="22"/>
        </w:rPr>
        <w:t xml:space="preserve">Clerk is not sold as an add-on; it is the Compliance Desk, staffed. The tier's economics are the business case: the financial model carries Desk clients per operator at 40 (Assumptions!B78), and Clerk's job is to move that to 80 and then toward 120 with the human still approving every submission — taking Desk-tier gross margin from the mid-fifties toward platform grade on exactly the tier the small wave wants to buy. The deterministic status lights ship in the Professional tier, deepening the tier that produces credit-visible data. Stage 1 and 2 ProofGraph are not separately priced: they are the machinery of facilitation revenue and are paid for by the take rate. The Passport is free to the SME at Stage 3, because it is the credit funnel, not a product. The per-invoice API of Stage 4 is a drawer item with the platform era. Model impact now: none — B78 stays at 40 until Clerk proves otherwise; when evidence lands, the staged ratio (40, 80, 120) becomes a model v1.2 input with its margin flow-through, and not before. The channel hears one sentence: your firm gets an AI-staffed back office under your own brand, and the demonstration is ninety seconds long (Appendix A).</w:t>
      </w:r>
    </w:p>
    <w:p>
      <w:pPr>
        <w:pStyle w:val="Heading1"/>
      </w:pPr>
      <w:r>
        <w:t xml:space="preserve">8. Gates and Kill Checks</w:t>
      </w:r>
    </w:p>
    <w:p>
      <w:pPr>
        <w:spacing w:after="140" w:line="276"/>
        <w:jc w:val="both"/>
      </w:pPr>
      <w:r>
        <w:rPr>
          <w:rFonts w:ascii="Calibri" w:cs="Calibri" w:eastAsia="Calibri" w:hAnsi="Calibri"/>
          <w:b w:val="false"/>
          <w:bCs w:val="false"/>
          <w:i w:val="false"/>
          <w:iCs w:val="false"/>
          <w:color w:val="222222"/>
          <w:sz w:val="22"/>
          <w:szCs w:val="22"/>
        </w:rPr>
        <w:t xml:space="preserve">Clerk unlocks on the roadmap's existing R2 condition for its predecessor line — Desk support load proving the operator-ratio problem is real — plus AI-08 counsel sign-off; it does not ship because it is impressive. Its standing kill checks: the monthly zero-unsupported-claims audit (one failure pauses the feature), the chasing complaint threshold, and the two-quarter operator-ratio test. ProofGraph's stages inherit the gates in Section 5 unchanged from the roadmap and TRD, with one addition to be fixed with the design-partner bank in the R3 sessions: the Stage 2 outcome threshold, written as a number (confirmed settlement and rejection outcomes, and quarters of history) into the underwriting specification, so that the day predictions turn on is a fact, not a feeling. The asymmetry that governs the whole stack governs here: any stage may be cut or delayed at will; no stage may be pulled forward of its gate.</w:t>
      </w:r>
    </w:p>
    <w:p>
      <w:pPr>
        <w:pStyle w:val="Heading1"/>
      </w:pPr>
      <w:r>
        <w:t xml:space="preserve">9. Open Questions for Counsel and Partners</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157"/>
        <w:gridCol w:w="5012"/>
        <w:gridCol w:w="3469"/>
      </w:tblGrid>
      <w:tr>
        <w:trPr>
          <w:tblHeader/>
        </w:trPr>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Ref</w:t>
            </w:r>
          </w:p>
        </w:tc>
        <w:tc>
          <w:tcPr>
            <w:tcW w:type="dxa" w:w="5012"/>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Question</w:t>
            </w:r>
          </w:p>
        </w:tc>
        <w:tc>
          <w:tcPr>
            <w:tcW w:type="dxa" w:w="3469"/>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Owner and blocking effect</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OPEN-6</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Residency and inference locality: does processing invoice data and voice media through a model hosted outside Nigeria breach the C4 residency duty or NDPA obligations, and if so, what in-country inference or redaction architecture satisfies counsel? Includes the WhatsApp business-service-provider data-processing chain.</w:t>
            </w:r>
          </w:p>
        </w:tc>
        <w:tc>
          <w:tcPr>
            <w:tcW w:type="dxa" w:w="346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Counsel with engineering; blocks Clerk launch (AI-08).</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OPEN-7</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WhatsApp Business API constraints: template approval, session-message windows and rate rules as they apply to confirmation-chasing cadence and multilingual templates.</w:t>
            </w:r>
          </w:p>
        </w:tc>
        <w:tc>
          <w:tcPr>
            <w:tcW w:type="dxa" w:w="346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Engineering with the messaging provider; shapes AI-06, blocks nothing at R0-R1.</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OPEN-8</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Voice data: NDPA treatment of voice notes (personal data, possible biometric character), lawful basis, retention period and deletion mechanics within the seven-year invoice-retention regime.</w:t>
            </w:r>
          </w:p>
        </w:tc>
        <w:tc>
          <w:tcPr>
            <w:tcW w:type="dxa" w:w="346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Counsel; blocks voice capture specifically, not text and image capture.</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OPEN-9</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Stage 2 threshold: the number of confirmed outcomes and quarters of history the design-partner bank requires before calibrated predictions may be shown, and the calibration reporting format.</w:t>
            </w:r>
          </w:p>
        </w:tc>
        <w:tc>
          <w:tcPr>
            <w:tcW w:type="dxa" w:w="346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Founder with the design-partner bank in R3 sessions; blocks Stage 2 by design.</w:t>
            </w:r>
          </w:p>
        </w:tc>
      </w:tr>
    </w:tbl>
    <w:p>
      <w:pPr>
        <w:spacing w:after="120"/>
      </w:pPr>
    </w:p>
    <w:p>
      <w:r>
        <w:br w:type="page"/>
      </w:r>
    </w:p>
    <w:p>
      <w:pPr>
        <w:pStyle w:val="Heading1"/>
      </w:pPr>
      <w:r>
        <w:t xml:space="preserve">Appendix A: A Ninety-Second Interaction, Scripted</w:t>
      </w:r>
    </w:p>
    <w:p>
      <w:pPr>
        <w:spacing w:after="140" w:line="276"/>
        <w:jc w:val="both"/>
      </w:pPr>
      <w:r>
        <w:rPr>
          <w:rFonts w:ascii="Calibri" w:cs="Calibri" w:eastAsia="Calibri" w:hAnsi="Calibri"/>
          <w:b w:val="false"/>
          <w:bCs w:val="false"/>
          <w:i w:val="false"/>
          <w:iCs w:val="false"/>
          <w:color w:val="222222"/>
          <w:sz w:val="22"/>
          <w:szCs w:val="22"/>
        </w:rPr>
        <w:t xml:space="preserve">The CPD-circuit demonstration, word for word. A shop owner in Surulere sends a voice note and a photo of a handwritten invoice to the firm's WhatsApp line.</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735"/>
        <w:gridCol w:w="7903"/>
      </w:tblGrid>
      <w:tr>
        <w:trPr>
          <w:tblHeader/>
        </w:trPr>
        <w:tc>
          <w:tcPr>
            <w:tcW w:type="dxa" w:w="1735"/>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Speaker</w:t>
            </w:r>
          </w:p>
        </w:tc>
        <w:tc>
          <w:tcPr>
            <w:tcW w:type="dxa" w:w="7903"/>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Message</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Client (voice, Pidgin)</w:t>
            </w:r>
          </w:p>
        </w:tc>
        <w:tc>
          <w:tcPr>
            <w:tcW w:type="dxa" w:w="790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Abeg, I sell goods give Chukwuma Stores today, one-fifty thousand. Na the invoice be this.</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w:t>
            </w:r>
          </w:p>
        </w:tc>
        <w:tc>
          <w:tcPr>
            <w:tcW w:type="dxa" w:w="790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 don see am. I read: buyer Chukwuma Stores, amount NGN 150,000, VAT NGN 11,250, date today. One thing remain — the buyer TIN no dey the paper. You fit send am, or make I use the TIN wey dem give us last month for Chukwuma Stores?</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Client</w:t>
            </w:r>
          </w:p>
        </w:tc>
        <w:tc>
          <w:tcPr>
            <w:tcW w:type="dxa" w:w="790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Use the last one.</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w:t>
            </w:r>
          </w:p>
        </w:tc>
        <w:tc>
          <w:tcPr>
            <w:tcW w:type="dxa" w:w="790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Done. E don enter queue; Amaka go check am before e go NRS. I go ping you when the stamp land.</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(Operator approves; submission stamps)</w:t>
            </w:r>
          </w:p>
        </w:tc>
        <w:tc>
          <w:tcPr>
            <w:tcW w:type="dxa" w:w="790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w:t>
            </w:r>
          </w:p>
        </w:tc>
        <w:tc>
          <w:tcPr>
            <w:tcW w:type="dxa" w:w="790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Your invoice don stamp. Open the app make you see am and download the copy: [link]. Anything else?</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Firm partner (to the room, closing the demo)</w:t>
            </w:r>
          </w:p>
        </w:tc>
        <w:tc>
          <w:tcPr>
            <w:tcW w:type="dxa" w:w="790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Now ask it what the fine is for late B2C reporting.</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w:t>
            </w:r>
          </w:p>
        </w:tc>
        <w:tc>
          <w:tcPr>
            <w:tcW w:type="dxa" w:w="790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NGN 50,000 for each day the report late pass 24 hours, under the fiscalisation rules — section reference dey inside the app. If you wan check your own risk, open the penalty calculator here: [link].</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Partner</w:t>
            </w:r>
          </w:p>
        </w:tc>
        <w:tc>
          <w:tcPr>
            <w:tcW w:type="dxa" w:w="790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Now ask it something it should not answer.</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w:t>
            </w:r>
          </w:p>
        </w:tc>
        <w:tc>
          <w:tcPr>
            <w:tcW w:type="dxa" w:w="790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That one pass wetin I sabi confirm from our approved sources. I no go guess am — make I connect you with Amaka? She go call you before close of work.</w:t>
            </w:r>
          </w:p>
        </w:tc>
      </w:tr>
    </w:tbl>
    <w:p>
      <w:pPr>
        <w:spacing w:after="120"/>
      </w:pPr>
    </w:p>
    <w:p>
      <w:pPr>
        <w:pBdr>
          <w:top w:val="single" w:color="DDE7E4" w:sz="2" w:space="4"/>
          <w:bottom w:val="single" w:color="DDE7E4" w:sz="2" w:space="4"/>
          <w:left w:val="single" w:color="C9A227" w:sz="24" w:space="8"/>
          <w:right w:val="single" w:color="DDE7E4" w:sz="2" w:space="4"/>
        </w:pBdr>
        <w:shd w:fill="F2F6F5" w:color="auto" w:val="clear"/>
        <w:spacing w:after="200" w:before="160" w:line="276"/>
        <w:ind w:left="120" w:right="120"/>
        <w:jc w:val="left"/>
      </w:pPr>
      <w:r>
        <w:rPr>
          <w:rFonts w:ascii="Calibri" w:cs="Calibri" w:eastAsia="Calibri" w:hAnsi="Calibri"/>
          <w:b/>
          <w:bCs/>
          <w:i w:val="false"/>
          <w:iCs w:val="false"/>
          <w:color w:val="0A3833"/>
          <w:sz w:val="22"/>
          <w:szCs w:val="22"/>
        </w:rPr>
        <w:t xml:space="preserve">Why the last line is the sale: </w:t>
      </w:r>
      <w:r>
        <w:rPr>
          <w:rFonts w:ascii="Calibri" w:cs="Calibri" w:eastAsia="Calibri" w:hAnsi="Calibri"/>
          <w:b w:val="false"/>
          <w:bCs w:val="false"/>
          <w:i w:val="false"/>
          <w:iCs w:val="false"/>
          <w:color w:val="333333"/>
          <w:sz w:val="22"/>
          <w:szCs w:val="22"/>
        </w:rPr>
        <w:t xml:space="preserve">every accountant in the room has watched software be confidently wrong. The first tax AI in Nigeria that would rather say nothing than be almost right is not a chatbot; it is the claims-governance regime, speaking Pidgin.</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E8E6" w:sz="4" w:space="4"/>
      </w:pBdr>
      <w:tabs>
        <w:tab w:val="right" w:pos="9638"/>
      </w:tabs>
    </w:pPr>
    <w:r>
      <w:rPr>
        <w:rFonts w:ascii="Calibri" w:cs="Calibri" w:eastAsia="Calibri" w:hAnsi="Calibri"/>
        <w:color w:val="9AA5A2"/>
        <w:sz w:val="16"/>
        <w:szCs w:val="16"/>
      </w:rPr>
      <w:t xml:space="preserve">MeridianIQ — Confidential</w:t>
    </w:r>
    <w:r>
      <w:rPr>
        <w:sz w:val="16"/>
        <w:szCs w:val="16"/>
      </w:rPr>
      <w:t xml:space="preserve">	</w:t>
    </w:r>
    <w:r>
      <w:rPr>
        <w:rFonts w:ascii="Calibri" w:cs="Calibri" w:eastAsia="Calibri" w:hAnsi="Calibri"/>
        <w:color w:val="9AA5A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8E6" w:sz="4" w:space="4"/>
      </w:pBdr>
      <w:spacing w:after="0"/>
      <w:jc w:val="right"/>
    </w:pPr>
    <w:r>
      <w:rPr>
        <w:rFonts w:ascii="Calibri" w:cs="Calibri" w:eastAsia="Calibri" w:hAnsi="Calibri"/>
        <w:color w:val="9AA5A2"/>
        <w:sz w:val="16"/>
        <w:szCs w:val="16"/>
      </w:rPr>
      <w:t xml:space="preserve">MeridianIQ AI Feature Brief v1.0  ·  July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27" w:sz="8" w:space="3"/>
      </w:pBdr>
      <w:spacing w:after="180" w:before="360"/>
    </w:pPr>
    <w:rPr>
      <w:rFonts w:ascii="Calibri" w:cs="Calibri" w:eastAsia="Calibri" w:hAnsi="Calibri"/>
      <w:b/>
      <w:bCs/>
      <w:color w:val="0E4C45"/>
      <w:sz w:val="31"/>
      <w:szCs w:val="31"/>
    </w:rPr>
  </w:style>
  <w:style w:type="paragraph" w:styleId="Heading2">
    <w:name w:val="Heading 2"/>
    <w:basedOn w:val="Normal"/>
    <w:next w:val="Normal"/>
    <w:qFormat/>
    <w:pPr>
      <w:keepNext/>
      <w:spacing w:after="120" w:before="260"/>
    </w:pPr>
    <w:rPr>
      <w:rFonts w:ascii="Calibri" w:cs="Calibri" w:eastAsia="Calibri" w:hAnsi="Calibri"/>
      <w:b/>
      <w:bCs/>
      <w:color w:val="0A3833"/>
      <w:sz w:val="25"/>
      <w:szCs w:val="25"/>
    </w:rPr>
  </w:style>
  <w:style w:type="paragraph" w:styleId="Heading3">
    <w:name w:val="Heading 3"/>
    <w:basedOn w:val="Normal"/>
    <w:next w:val="Normal"/>
    <w:qFormat/>
    <w:pPr>
      <w:keepNext/>
      <w:spacing w:after="100" w:before="200"/>
    </w:pPr>
    <w:rPr>
      <w:rFonts w:ascii="Calibri" w:cs="Calibri" w:eastAsia="Calibri" w:hAnsi="Calibri"/>
      <w:b/>
      <w:bCs/>
      <w:color w:val="3E4B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MeridianIQ AI Feature Brief v1.0 — Clerk and the ProofGraph Track</dc:title>
  <dc:creator>MeridianIQ</dc:creator>
  <dc:description>Two-layer AI: Clerk (retrieval-locked operator, R2-gated) and ProofGraph (staged intelligence layer)</dc:description>
  <cp:lastModifiedBy>Un-named</cp:lastModifiedBy>
  <cp:revision>1</cp:revision>
  <dcterms:created xsi:type="dcterms:W3CDTF">2026-07-12T15:21:46.914Z</dcterms:created>
  <dcterms:modified xsi:type="dcterms:W3CDTF">2026-07-12T15:21:46.930Z</dcterms:modified>
</cp:coreProperties>
</file>

<file path=docProps/custom.xml><?xml version="1.0" encoding="utf-8"?>
<Properties xmlns="http://schemas.openxmlformats.org/officeDocument/2006/custom-properties" xmlns:vt="http://schemas.openxmlformats.org/officeDocument/2006/docPropsVTypes"/>
</file>