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300"/>
      </w:pPr>
    </w:p>
    <w:p>
      <w:pPr>
        <w:spacing w:after="120"/>
        <w:jc w:val="center"/>
      </w:pPr>
      <w:r>
        <w:rPr>
          <w:rFonts w:ascii="Calibri" w:cs="Calibri" w:eastAsia="Calibri" w:hAnsi="Calibri"/>
          <w:b/>
          <w:bCs/>
          <w:color w:val="0E4C45"/>
          <w:sz w:val="84"/>
          <w:szCs w:val="84"/>
        </w:rPr>
        <w:t xml:space="preserve">MeridianIQ</w:t>
      </w:r>
    </w:p>
    <w:p>
      <w:pPr>
        <w:spacing w:after="240"/>
        <w:jc w:val="center"/>
      </w:pPr>
      <w:r>
        <w:rPr>
          <w:rFonts w:ascii="Calibri" w:cs="Calibri" w:eastAsia="Calibri" w:hAnsi="Calibri"/>
          <w:b/>
          <w:bCs/>
          <w:color w:val="0A3833"/>
          <w:sz w:val="42"/>
          <w:szCs w:val="42"/>
        </w:rPr>
        <w:t xml:space="preserve">Clerk and the ProofGraph Track</w:t>
      </w:r>
    </w:p>
    <w:p>
      <w:pPr>
        <w:spacing w:after="520"/>
        <w:jc w:val="center"/>
      </w:pPr>
      <w:r>
        <w:rPr>
          <w:rFonts w:ascii="Calibri" w:cs="Calibri" w:eastAsia="Calibri" w:hAnsi="Calibri"/>
          <w:color w:val="5A5A5A"/>
          <w:sz w:val="26"/>
          <w:szCs w:val="26"/>
        </w:rPr>
        <w:t xml:space="preserve">AI Feature Brief — the hands now, the brain later, and the leash on both</w:t>
      </w:r>
    </w:p>
    <w:p>
      <w:pPr>
        <w:spacing w:after="140"/>
        <w:jc w:val="center"/>
      </w:pPr>
      <w:r>
        <w:rPr>
          <w:rFonts w:ascii="Calibri" w:cs="Calibri" w:eastAsia="Calibri" w:hAnsi="Calibri"/>
          <w:b/>
          <w:bCs/>
          <w:color w:val="C9A227"/>
          <w:sz w:val="20"/>
          <w:szCs w:val="20"/>
        </w:rPr>
        <w:t xml:space="preserve">COMPANION TO ROADMAP v1.1, TRD v1.1 AND THE CLERK SUPPLEMENTALS v1.0</w:t>
      </w:r>
    </w:p>
    <w:p>
      <w:pPr>
        <w:spacing w:after="2700"/>
        <w:jc w:val="center"/>
      </w:pPr>
      <w:r>
        <w:rPr>
          <w:rFonts w:ascii="Calibri" w:cs="Calibri" w:eastAsia="Calibri" w:hAnsi="Calibri"/>
          <w:color w:val="5A5A5A"/>
          <w:sz w:val="22"/>
          <w:szCs w:val="22"/>
        </w:rPr>
        <w:t xml:space="preserve">Version 1.1  ·  July 2026  ·  Lagos, Nigeria</w:t>
      </w:r>
    </w:p>
    <w:p>
      <w:pPr>
        <w:jc w:val="center"/>
      </w:pPr>
      <w:r>
        <w:rPr>
          <w:rFonts w:ascii="Calibri" w:cs="Calibri" w:eastAsia="Calibri" w:hAnsi="Calibri"/>
          <w:i/>
          <w:iCs/>
          <w:color w:val="5A5A5A"/>
          <w:sz w:val="18"/>
          <w:szCs w:val="18"/>
        </w:rPr>
        <w:t xml:space="preserve">Confidential. The Clerk Supplemental Product Roadmap v1.0 and Supplemental Technical Requirements v1.0 are canonical for implementation and prevail on conflict; this brief is the strategy layer above them. Every capability is evidence-gated; nothing ships on the calendar alone.</w:t>
      </w:r>
    </w:p>
    <w:p>
      <w:r>
        <w:br w:type="page"/>
      </w:r>
    </w:p>
    <w:p>
      <w:pPr>
        <w:pStyle w:val="Heading1"/>
      </w:pPr>
      <w:r>
        <w:t xml:space="preserve">Contents</w:t>
      </w:r>
    </w:p>
    <w:p>
      <w:pPr>
        <w:spacing w:after="90" w:line="276"/>
        <w:jc w:val="left"/>
      </w:pPr>
      <w:r>
        <w:rPr>
          <w:rFonts w:ascii="Calibri" w:cs="Calibri" w:eastAsia="Calibri" w:hAnsi="Calibri"/>
          <w:b w:val="false"/>
          <w:bCs w:val="false"/>
          <w:i w:val="false"/>
          <w:iCs w:val="false"/>
          <w:color w:val="222222"/>
          <w:sz w:val="23"/>
          <w:szCs w:val="23"/>
        </w:rPr>
        <w:t xml:space="preserve">1.  Purpose, Provenance and the Governing Rule</w:t>
      </w:r>
    </w:p>
    <w:p>
      <w:pPr>
        <w:spacing w:after="90" w:line="276"/>
        <w:jc w:val="left"/>
      </w:pPr>
      <w:r>
        <w:rPr>
          <w:rFonts w:ascii="Calibri" w:cs="Calibri" w:eastAsia="Calibri" w:hAnsi="Calibri"/>
          <w:b w:val="false"/>
          <w:bCs w:val="false"/>
          <w:i w:val="false"/>
          <w:iCs w:val="false"/>
          <w:color w:val="222222"/>
          <w:sz w:val="23"/>
          <w:szCs w:val="23"/>
        </w:rPr>
        <w:t xml:space="preserve">2.  The Two-Layer Thesis: Hands Now, Brain Later</w:t>
      </w:r>
    </w:p>
    <w:p>
      <w:pPr>
        <w:spacing w:after="90" w:line="276"/>
        <w:jc w:val="left"/>
      </w:pPr>
      <w:r>
        <w:rPr>
          <w:rFonts w:ascii="Calibri" w:cs="Calibri" w:eastAsia="Calibri" w:hAnsi="Calibri"/>
          <w:b w:val="false"/>
          <w:bCs w:val="false"/>
          <w:i w:val="false"/>
          <w:iCs w:val="false"/>
          <w:color w:val="222222"/>
          <w:sz w:val="23"/>
          <w:szCs w:val="23"/>
        </w:rPr>
        <w:t xml:space="preserve">3.  Clerk — the AI Compliance Operator</w:t>
      </w:r>
    </w:p>
    <w:p>
      <w:pPr>
        <w:spacing w:after="90" w:line="276"/>
        <w:jc w:val="left"/>
      </w:pPr>
      <w:r>
        <w:rPr>
          <w:rFonts w:ascii="Calibri" w:cs="Calibri" w:eastAsia="Calibri" w:hAnsi="Calibri"/>
          <w:b w:val="false"/>
          <w:bCs w:val="false"/>
          <w:i w:val="false"/>
          <w:iCs w:val="false"/>
          <w:color w:val="222222"/>
          <w:sz w:val="23"/>
          <w:szCs w:val="23"/>
        </w:rPr>
        <w:t xml:space="preserve">4.  Clerk Requirements (AI-01 to AI-09)</w:t>
      </w:r>
    </w:p>
    <w:p>
      <w:pPr>
        <w:spacing w:after="90" w:line="276"/>
        <w:jc w:val="left"/>
      </w:pPr>
      <w:r>
        <w:rPr>
          <w:rFonts w:ascii="Calibri" w:cs="Calibri" w:eastAsia="Calibri" w:hAnsi="Calibri"/>
          <w:b w:val="false"/>
          <w:bCs w:val="false"/>
          <w:i w:val="false"/>
          <w:iCs w:val="false"/>
          <w:color w:val="222222"/>
          <w:sz w:val="23"/>
          <w:szCs w:val="23"/>
        </w:rPr>
        <w:t xml:space="preserve">5.  The ProofGraph Track: Five Stages, Each Behind a Gate</w:t>
      </w:r>
    </w:p>
    <w:p>
      <w:pPr>
        <w:spacing w:after="90" w:line="276"/>
        <w:jc w:val="left"/>
      </w:pPr>
      <w:r>
        <w:rPr>
          <w:rFonts w:ascii="Calibri" w:cs="Calibri" w:eastAsia="Calibri" w:hAnsi="Calibri"/>
          <w:b w:val="false"/>
          <w:bCs w:val="false"/>
          <w:i w:val="false"/>
          <w:iCs w:val="false"/>
          <w:color w:val="222222"/>
          <w:sz w:val="23"/>
          <w:szCs w:val="23"/>
        </w:rPr>
        <w:t xml:space="preserve">6.  Consent, Embargo and Residency Mapping</w:t>
      </w:r>
    </w:p>
    <w:p>
      <w:pPr>
        <w:spacing w:after="90" w:line="276"/>
        <w:jc w:val="left"/>
      </w:pPr>
      <w:r>
        <w:rPr>
          <w:rFonts w:ascii="Calibri" w:cs="Calibri" w:eastAsia="Calibri" w:hAnsi="Calibri"/>
          <w:b w:val="false"/>
          <w:bCs w:val="false"/>
          <w:i w:val="false"/>
          <w:iCs w:val="false"/>
          <w:color w:val="222222"/>
          <w:sz w:val="23"/>
          <w:szCs w:val="23"/>
        </w:rPr>
        <w:t xml:space="preserve">7.  Commercial Model and Financial-Model Impact</w:t>
      </w:r>
    </w:p>
    <w:p>
      <w:pPr>
        <w:spacing w:after="90" w:line="276"/>
        <w:jc w:val="left"/>
      </w:pPr>
      <w:r>
        <w:rPr>
          <w:rFonts w:ascii="Calibri" w:cs="Calibri" w:eastAsia="Calibri" w:hAnsi="Calibri"/>
          <w:b w:val="false"/>
          <w:bCs w:val="false"/>
          <w:i w:val="false"/>
          <w:iCs w:val="false"/>
          <w:color w:val="222222"/>
          <w:sz w:val="23"/>
          <w:szCs w:val="23"/>
        </w:rPr>
        <w:t xml:space="preserve">8.  Gates and Kill Checks</w:t>
      </w:r>
    </w:p>
    <w:p>
      <w:pPr>
        <w:spacing w:after="90" w:line="276"/>
        <w:jc w:val="left"/>
      </w:pPr>
      <w:r>
        <w:rPr>
          <w:rFonts w:ascii="Calibri" w:cs="Calibri" w:eastAsia="Calibri" w:hAnsi="Calibri"/>
          <w:b w:val="false"/>
          <w:bCs w:val="false"/>
          <w:i w:val="false"/>
          <w:iCs w:val="false"/>
          <w:color w:val="222222"/>
          <w:sz w:val="23"/>
          <w:szCs w:val="23"/>
        </w:rPr>
        <w:t xml:space="preserve">9.  Open Questions for Counsel and Partners</w:t>
      </w:r>
    </w:p>
    <w:p>
      <w:pPr>
        <w:spacing w:after="90" w:line="276"/>
        <w:jc w:val="left"/>
      </w:pPr>
      <w:r>
        <w:rPr>
          <w:rFonts w:ascii="Calibri" w:cs="Calibri" w:eastAsia="Calibri" w:hAnsi="Calibri"/>
          <w:b w:val="false"/>
          <w:bCs w:val="false"/>
          <w:i w:val="false"/>
          <w:iCs w:val="false"/>
          <w:color w:val="222222"/>
          <w:sz w:val="23"/>
          <w:szCs w:val="23"/>
        </w:rPr>
        <w:t xml:space="preserve">Appendix A: A Ninety-Second Interaction, Scripted</w:t>
      </w:r>
    </w:p>
    <w:p>
      <w:r>
        <w:br w:type="page"/>
      </w:r>
    </w:p>
    <w:p>
      <w:pPr>
        <w:pStyle w:val="Heading1"/>
      </w:pPr>
      <w:r>
        <w:t xml:space="preserve">1. Purpose, Provenance and the Governing Rule</w:t>
      </w:r>
    </w:p>
    <w:p>
      <w:pPr>
        <w:spacing w:after="140" w:line="276"/>
        <w:jc w:val="both"/>
      </w:pPr>
      <w:r>
        <w:rPr>
          <w:rFonts w:ascii="Calibri" w:cs="Calibri" w:eastAsia="Calibri" w:hAnsi="Calibri"/>
          <w:b w:val="false"/>
          <w:bCs w:val="false"/>
          <w:i w:val="false"/>
          <w:iCs w:val="false"/>
          <w:color w:val="222222"/>
          <w:sz w:val="22"/>
          <w:szCs w:val="22"/>
        </w:rPr>
        <w:t xml:space="preserve">This brief specifies MeridianIQ's AI capability as two layers built in a mandatory order: Clerk, an AI compliance operator that ships first because it needs no outcome data, and ProofGraph, the intelligence layer that ships later because it needs exactly the outcome data Clerk manufactures. It absorbs and replaces the AI failure-explainer candidate line in Roadmap v1.1 R2, and it binds itself to the standing rules of the stack: the claims-governance regime of the Marketing and Sales Strategy, the messaging boundary of TRD SEC-12, the rules-first fraud discipline of CR-02, the three-layer consent architecture, and the credit-language embargo that holds until R4 is live. In version 1.1 this brief is explicitly the strategy layer: the Clerk Supplemental Product Roadmap v1.0 and Clerk Supplemental Technical Requirements v1.0 are canonical for implementation, their C0-to-C5 phases and CLK requirement set prevail on any conflict, and Sections 3, 4, 8 and 9 below have been corrected to match them.</w:t>
      </w:r>
    </w:p>
    <w:p>
      <w:pPr>
        <w:spacing w:after="140" w:line="276"/>
        <w:jc w:val="both"/>
      </w:pPr>
      <w:r>
        <w:rPr>
          <w:rFonts w:ascii="Calibri" w:cs="Calibri" w:eastAsia="Calibri" w:hAnsi="Calibri"/>
          <w:b w:val="false"/>
          <w:bCs w:val="false"/>
          <w:i w:val="false"/>
          <w:iCs w:val="false"/>
          <w:color w:val="222222"/>
          <w:sz w:val="22"/>
          <w:szCs w:val="22"/>
        </w:rPr>
        <w:t xml:space="preserve">Provenance, stated plainly. Two AI-generated feature proposals informed this brief: an internal one (Clerk) and an external one (ProofGraph AI, July 2026), which independently re-derived the company's outcome-graph thesis — its evidence chain is the append-only lifecycle of TRD CORE-02 almost line for line. This brief adopts from the external proposal its name for the intelligence layer, its green-amber-red status UX in deterministic form, and its safeguards standard, while re-sequencing its predictive claims behind the outcome gate CR-02 already imposes. Neither proposal has met a user; both are hypotheses with test dates, and the synthetic-validation caveat of the fourth pressure test applies to this document too.</w:t>
      </w:r>
    </w:p>
    <w:p>
      <w:pPr>
        <w:spacing w:after="140" w:line="276"/>
        <w:jc w:val="both"/>
      </w:pPr>
      <w:r>
        <w:rPr>
          <w:rFonts w:ascii="Calibri" w:cs="Calibri" w:eastAsia="Calibri" w:hAnsi="Calibri"/>
          <w:b/>
          <w:bCs/>
          <w:i w:val="false"/>
          <w:iCs w:val="false"/>
          <w:color w:val="222222"/>
          <w:sz w:val="22"/>
          <w:szCs w:val="22"/>
        </w:rPr>
        <w:t xml:space="preserve">Revision note (v1.1, July 2026): </w:t>
      </w:r>
      <w:r>
        <w:rPr>
          <w:rFonts w:ascii="Calibri" w:cs="Calibri" w:eastAsia="Calibri" w:hAnsi="Calibri"/>
          <w:b w:val="false"/>
          <w:bCs w:val="false"/>
          <w:i w:val="false"/>
          <w:iCs w:val="false"/>
          <w:color w:val="222222"/>
          <w:sz w:val="22"/>
          <w:szCs w:val="22"/>
        </w:rPr>
        <w:t xml:space="preserve">the two Clerk supplementals were reviewed against this brief and adopted as canonical for implementation — at the control layer they are simply stronger. Three corrections follow in ink: the governing claim that the AI is structurally incapable of guessing is retired as an overclaim in favour of the supplementals’ protected-facts mechanism, in which application code inserts binding values the model cannot create or modify; the four-languages-at-launch promise is retired in favour of staged language gates with independent local benchmarks; and the v1.0 requirement set AI-01 to AI-09 and OPEN-7 to OPEN-9 are superseded and renumbered into the supplemental scheme, with one new question (OPEN-15) contributed by this brief. The two-layer thesis, the ProofGraph stages beyond substrate, and the commercial and demonstration material remain this document’s surviving contribution.</w:t>
      </w:r>
    </w:p>
    <w:p>
      <w:pPr>
        <w:pBdr>
          <w:top w:val="single" w:color="DDE7E4" w:sz="2" w:space="4"/>
          <w:bottom w:val="single" w:color="DDE7E4" w:sz="2" w:space="4"/>
          <w:left w:val="single" w:color="C9A227" w:sz="24" w:space="8"/>
          <w:right w:val="single" w:color="DDE7E4" w:sz="2" w:space="4"/>
        </w:pBdr>
        <w:shd w:fill="F2F6F5" w:color="auto" w:val="clear"/>
        <w:spacing w:after="200" w:before="160" w:line="276"/>
        <w:ind w:left="120" w:right="120"/>
        <w:jc w:val="left"/>
      </w:pPr>
      <w:r>
        <w:rPr>
          <w:rFonts w:ascii="Calibri" w:cs="Calibri" w:eastAsia="Calibri" w:hAnsi="Calibri"/>
          <w:b/>
          <w:bCs/>
          <w:i w:val="false"/>
          <w:iCs w:val="false"/>
          <w:color w:val="0A3833"/>
          <w:sz w:val="22"/>
          <w:szCs w:val="22"/>
        </w:rPr>
        <w:t xml:space="preserve">The governing rule, corrected in v1.1: binding facts are deterministic. </w:t>
      </w:r>
      <w:r>
        <w:rPr>
          <w:rFonts w:ascii="Calibri" w:cs="Calibri" w:eastAsia="Calibri" w:hAnsi="Calibri"/>
          <w:b w:val="false"/>
          <w:bCs w:val="false"/>
          <w:i w:val="false"/>
          <w:iCs w:val="false"/>
          <w:color w:val="333333"/>
          <w:sz w:val="22"/>
          <w:szCs w:val="22"/>
        </w:rPr>
        <w:t xml:space="preserve">The model never generates a penalty, a deadline, a threshold or a statutory reference — application code inserts protected values from active, counsel-approved ClaimRecords, and no language rendering can mutate them (Supplemental CLK-AI-03 and CLK-AI-08). Anything unsupported becomes refusal and human escalation: uncertainty is a product state, not confident prose. Version 1.0 called the AI structurally incapable of guessing; the supplemental review rightly flagged that as a claim about a model rather than a property of code, and external wording now clears the claims register like every other promise. The refusal is still the feature — the leash is just honester.</w:t>
      </w:r>
    </w:p>
    <w:p>
      <w:pPr>
        <w:pStyle w:val="Heading1"/>
      </w:pPr>
      <w:r>
        <w:t xml:space="preserve">2. The Two-Layer Thesis: Hands Now, Brain Later</w:t>
      </w:r>
    </w:p>
    <w:p>
      <w:pPr>
        <w:spacing w:after="140" w:line="276"/>
        <w:jc w:val="both"/>
      </w:pPr>
      <w:r>
        <w:rPr>
          <w:rFonts w:ascii="Calibri" w:cs="Calibri" w:eastAsia="Calibri" w:hAnsi="Calibri"/>
          <w:b w:val="false"/>
          <w:bCs w:val="false"/>
          <w:i w:val="false"/>
          <w:iCs w:val="false"/>
          <w:color w:val="222222"/>
          <w:sz w:val="22"/>
          <w:szCs w:val="22"/>
        </w:rPr>
        <w:t xml:space="preserve">Every competitor can bolt a chatbot onto a compliance product, and within a year most will. Two things they cannot bolt on: grounding corpora that took a year of paid engagements to earn, and a labeled outcome history that only accrues to whoever runs the workflow. Clerk is the workflow layer — capture, completion, submission support, rejection translation, deadline nudges, and buyer-confirmation chasing — grounded in deterministic sources that exist today. ProofGraph is the intelligence layer — anomaly rules, eligibility, scoring, and eventually calibrated prediction — and its entire raw material is what Clerk produces as exhaust: every extraction a human corrects, every rejection resolved through the catalogue, every confirmation chased out of a buyer, every settlement matched, is a labeled outcome. Build them in the wrong order and the brain has no memories; build them in this order and the operational feature funds and feeds the strategic one. Clerk earns the operator-ratio economics of the Compliance Desk; ProofGraph earns the underwriting credibility of Act Three; the dependency runs one way.</w:t>
      </w:r>
    </w:p>
    <w:p>
      <w:pPr>
        <w:pStyle w:val="Heading1"/>
      </w:pPr>
      <w:r>
        <w:t xml:space="preserve">3. Clerk — the AI Compliance Operator</w:t>
      </w:r>
    </w:p>
    <w:p>
      <w:pPr>
        <w:pStyle w:val="Heading2"/>
      </w:pPr>
      <w:r>
        <w:t xml:space="preserve">3.1 What it is</w:t>
      </w:r>
    </w:p>
    <w:p>
      <w:pPr>
        <w:spacing w:after="140" w:line="276"/>
        <w:jc w:val="both"/>
      </w:pPr>
      <w:r>
        <w:rPr>
          <w:rFonts w:ascii="Calibri" w:cs="Calibri" w:eastAsia="Calibri" w:hAnsi="Calibri"/>
          <w:b w:val="false"/>
          <w:bCs w:val="false"/>
          <w:i w:val="false"/>
          <w:iCs w:val="false"/>
          <w:color w:val="222222"/>
          <w:sz w:val="22"/>
          <w:szCs w:val="22"/>
        </w:rPr>
        <w:t xml:space="preserve">Clerk is the named operator inside the Compliance Desk tier: a retrieval-locked assistant that works over WhatsApp and in-app chat, in Nigerian English at launch and in further languages as each passes its own gate, and that does the work rather than describing it. Its grounding triad: the counsel-approved claims register, whose binding values are inserted into responses by application code as protected fields the model cannot create or modify (Supplemental CLK-AI-03), always with the statute section attached, the living error catalogue (the only source from which it may explain a rejection), and the client's own spine (the only source from which it may state anything about the client's invoices, balances of risk, or history). Anything outside the triad triggers one behaviour: escalation to a human Desk operator, logged, with the honest sentence that it does not know. Clerk never freelances a fact, never speculates, and never fills a low-confidence field by guessing — it asks. Two v1.1 corrections from the supplemental review: languages are staged, not simultaneous — Nigerian English first, with voice in English, and Pidgin, Yoruba and Hausa each gated behind an independent local benchmark, an approved glossary and trained review capacity — and no client sees Clerk at all until the C1 shadow phase has proven it against real operator decisions with the normal workflow authoritative.</w:t>
      </w:r>
    </w:p>
    <w:p>
      <w:pPr>
        <w:pStyle w:val="Heading2"/>
      </w:pPr>
      <w:r>
        <w:t xml:space="preserve">3.2 What it does, day one</w:t>
      </w:r>
    </w:p>
    <w:p>
      <w:pPr>
        <w:spacing w:after="140" w:line="276"/>
        <w:jc w:val="both"/>
      </w:pPr>
      <w:r>
        <w:rPr>
          <w:rFonts w:ascii="Calibri" w:cs="Calibri" w:eastAsia="Calibri" w:hAnsi="Calibri"/>
          <w:b w:val="false"/>
          <w:bCs w:val="false"/>
          <w:i w:val="false"/>
          <w:iCs w:val="false"/>
          <w:color w:val="222222"/>
          <w:sz w:val="22"/>
          <w:szCs w:val="22"/>
        </w:rPr>
        <w:t xml:space="preserve">This table summarises intent; the normative behaviour is the Supplemental TRD, with its CLK requirement set and its four action classes: deterministic, AI-assisted, human-authorised, and prohibited.</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55"/>
          <w:left w:type="dxa" w:w="100"/>
          <w:bottom w:type="dxa" w:w="55"/>
          <w:right w:type="dxa" w:w="100"/>
        </w:tblCellMar>
      </w:tblPr>
      <w:tblGrid>
        <w:gridCol w:w="2313"/>
        <w:gridCol w:w="5012"/>
        <w:gridCol w:w="2313"/>
      </w:tblGrid>
      <w:tr>
        <w:trPr>
          <w:tblHeader/>
        </w:trPr>
        <w:tc>
          <w:tcPr>
            <w:tcW w:type="dxa" w:w="2313"/>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Capability</w:t>
            </w:r>
          </w:p>
        </w:tc>
        <w:tc>
          <w:tcPr>
            <w:tcW w:type="dxa" w:w="5012"/>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Behaviour</w:t>
            </w:r>
          </w:p>
        </w:tc>
        <w:tc>
          <w:tcPr>
            <w:tcW w:type="dxa" w:w="2313"/>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Grounding</w:t>
            </w:r>
          </w:p>
        </w:tc>
      </w:tr>
      <w:tr>
        <w:tc>
          <w:tcPr>
            <w:tcW w:type="dxa" w:w="231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Capture anywhere</w:t>
            </w:r>
          </w:p>
        </w:tc>
        <w:tc>
          <w:tcPr>
            <w:tcW w:type="dxa" w:w="5012"/>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photo of a paper invoice or a voice note in Pidgin arrives on WhatsApp; Clerk extracts it into the 55-field canonical model with per-field confidence.</w:t>
            </w:r>
          </w:p>
        </w:tc>
        <w:tc>
          <w:tcPr>
            <w:tcW w:type="dxa" w:w="231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Extraction model + spine schema</w:t>
            </w:r>
          </w:p>
        </w:tc>
      </w:tr>
      <w:tr>
        <w:tc>
          <w:tcPr>
            <w:tcW w:type="dxa" w:w="2313"/>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Gap interrogation</w:t>
            </w:r>
          </w:p>
        </w:tc>
        <w:tc>
          <w:tcPr>
            <w:tcW w:type="dxa" w:w="5012"/>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Missing or low-confidence fields are asked for, one message at a time, in the client's language — never auto-filled. The buyer TIN is missing, send am make I finish.</w:t>
            </w:r>
          </w:p>
        </w:tc>
        <w:tc>
          <w:tcPr>
            <w:tcW w:type="dxa" w:w="2313"/>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Spine + validation rules</w:t>
            </w:r>
          </w:p>
        </w:tc>
      </w:tr>
      <w:tr>
        <w:tc>
          <w:tcPr>
            <w:tcW w:type="dxa" w:w="231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Queue, never submit</w:t>
            </w:r>
          </w:p>
        </w:tc>
        <w:tc>
          <w:tcPr>
            <w:tcW w:type="dxa" w:w="5012"/>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Completed invoices enter the operator queue; on the Desk tier a human approves before anything touches the national platform.</w:t>
            </w:r>
          </w:p>
        </w:tc>
        <w:tc>
          <w:tcPr>
            <w:tcW w:type="dxa" w:w="231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AI-04 human-in-the-loop</w:t>
            </w:r>
          </w:p>
        </w:tc>
      </w:tr>
      <w:tr>
        <w:tc>
          <w:tcPr>
            <w:tcW w:type="dxa" w:w="2313"/>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Rejection translation</w:t>
            </w:r>
          </w:p>
        </w:tc>
        <w:tc>
          <w:tcPr>
            <w:tcW w:type="dxa" w:w="5012"/>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Any MBS failure comes back as the catalogue's plain-language cause and fix, in the client's language, with the exact field named.</w:t>
            </w:r>
          </w:p>
        </w:tc>
        <w:tc>
          <w:tcPr>
            <w:tcW w:type="dxa" w:w="2313"/>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Error catalogue</w:t>
            </w:r>
          </w:p>
        </w:tc>
      </w:tr>
      <w:tr>
        <w:tc>
          <w:tcPr>
            <w:tcW w:type="dxa" w:w="231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Deadline nudges</w:t>
            </w:r>
          </w:p>
        </w:tc>
        <w:tc>
          <w:tcPr>
            <w:tcW w:type="dxa" w:w="5012"/>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Compliance-calendar alerts as pointers only, per SEC-12: three invoices need attention — open the app. Never amounts, names or documents in a message.</w:t>
            </w:r>
          </w:p>
        </w:tc>
        <w:tc>
          <w:tcPr>
            <w:tcW w:type="dxa" w:w="231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Compliance clocks + SEC-12</w:t>
            </w:r>
          </w:p>
        </w:tc>
      </w:tr>
      <w:tr>
        <w:tc>
          <w:tcPr>
            <w:tcW w:type="dxa" w:w="2313"/>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Confirmation chasing</w:t>
            </w:r>
          </w:p>
        </w:tc>
        <w:tc>
          <w:tcPr>
            <w:tcW w:type="dxa" w:w="5012"/>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On Buyer Rails, Clerk politely and persistently chases buyer-side confirmations in the buyer clerk's language, with cadence caps and opt-out — attacking Act Three's true bottleneck.</w:t>
            </w:r>
          </w:p>
        </w:tc>
        <w:tc>
          <w:tcPr>
            <w:tcW w:type="dxa" w:w="2313"/>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Buyer Rails workflow</w:t>
            </w:r>
          </w:p>
        </w:tc>
      </w:tr>
      <w:tr>
        <w:tc>
          <w:tcPr>
            <w:tcW w:type="dxa" w:w="231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Register-only answers</w:t>
            </w:r>
          </w:p>
        </w:tc>
        <w:tc>
          <w:tcPr>
            <w:tcW w:type="dxa" w:w="5012"/>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Asked what the fine for late B2C reporting is, Clerk answers with the naira figure and the section number. Asked anything outside the register, it declines and offers a human.</w:t>
            </w:r>
          </w:p>
        </w:tc>
        <w:tc>
          <w:tcPr>
            <w:tcW w:type="dxa" w:w="231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Claims register</w:t>
            </w:r>
          </w:p>
        </w:tc>
      </w:tr>
    </w:tbl>
    <w:p>
      <w:pPr>
        <w:spacing w:after="120"/>
      </w:pPr>
    </w:p>
    <w:p>
      <w:pPr>
        <w:pStyle w:val="Heading2"/>
      </w:pPr>
      <w:r>
        <w:t xml:space="preserve">3.3 The status lights (adopted from the external proposal, in deterministic form)</w:t>
      </w:r>
    </w:p>
    <w:p>
      <w:pPr>
        <w:spacing w:after="140" w:line="276"/>
        <w:jc w:val="both"/>
      </w:pPr>
      <w:r>
        <w:rPr>
          <w:rFonts w:ascii="Calibri" w:cs="Calibri" w:eastAsia="Calibri" w:hAnsi="Calibri"/>
          <w:b w:val="false"/>
          <w:bCs w:val="false"/>
          <w:i w:val="false"/>
          <w:iCs w:val="false"/>
          <w:color w:val="222222"/>
          <w:sz w:val="22"/>
          <w:szCs w:val="22"/>
        </w:rPr>
        <w:t xml:space="preserve">Every invoice carries a green, amber or red status with reason codes and a recommended action — the external proposal's best UX idea, kept, with one surgical change: in Clerk the lights are driven entirely by rules over the spine, never by probabilities, because the model has no outcomes to calibrate against yet and the brand cannot afford a confident wrong percentage. Green: all mandatory fields valid, buyer known, treatment consistent with this client's history. Amber: something checkable is off — buyer TIN unconfirmed, VAT treatment differs from the last invoice to this buyer, no purchase-order reference on a buyer that usually supplies one. Red: a rule is breached — a mandatory field fails validation, a duplicate is detected, the buyer is flagged. Each light lists its reason codes and the corrective actions, and the user may accept the fixes, edit, or send to the accountant. No number that looks like a prediction appears anywhere in version one; the day predictions appear is governed by the ProofGraph track in Section 5, not by enthusiasm.</w:t>
      </w:r>
    </w:p>
    <w:p>
      <w:pPr>
        <w:pStyle w:val="Heading2"/>
      </w:pPr>
      <w:r>
        <w:t xml:space="preserve">3.4 What Clerk will never do</w:t>
      </w:r>
    </w:p>
    <w:p>
      <w:pPr>
        <w:spacing w:after="140" w:line="276"/>
        <w:jc w:val="both"/>
      </w:pPr>
      <w:r>
        <w:rPr>
          <w:rFonts w:ascii="Calibri" w:cs="Calibri" w:eastAsia="Calibri" w:hAnsi="Calibri"/>
          <w:b w:val="false"/>
          <w:bCs w:val="false"/>
          <w:i w:val="false"/>
          <w:iCs w:val="false"/>
          <w:color w:val="222222"/>
          <w:sz w:val="22"/>
          <w:szCs w:val="22"/>
        </w:rPr>
        <w:t xml:space="preserve">Never render a binding fact the model itself generated: protected values come from application code and active ClaimRecords, with citation — the model cannot create or modify them. Never guess a field value. Never place invoice data, amounts, counterparties or documents in an outbound message (SEC-12: alerts are pointers into the authenticated app). Never discuss financing, credit, loans or early payment before the R4 embargo lifts — the scripted deflection from the Marketing appendix is Clerk's verbatim response, and the interest is logged. Never submit on the Desk tier without a human approve. Never impersonate a human: Clerk announces what it is on first contact and on request. And never learn across tenants from identifiable data: cross-client improvement uses only the layer-two aggregated corpus, per the consent architecture.</w:t>
      </w:r>
    </w:p>
    <w:p>
      <w:pPr>
        <w:pStyle w:val="Heading1"/>
      </w:pPr>
      <w:r>
        <w:t xml:space="preserve">4. Clerk Requirements — Superseded and Mapped</w:t>
      </w:r>
    </w:p>
    <w:p>
      <w:pPr>
        <w:spacing w:after="140" w:line="276"/>
        <w:jc w:val="both"/>
      </w:pPr>
      <w:r>
        <w:rPr>
          <w:rFonts w:ascii="Calibri" w:cs="Calibri" w:eastAsia="Calibri" w:hAnsi="Calibri"/>
          <w:b w:val="false"/>
          <w:bCs w:val="false"/>
          <w:i w:val="false"/>
          <w:iCs w:val="false"/>
          <w:color w:val="222222"/>
          <w:sz w:val="22"/>
          <w:szCs w:val="22"/>
        </w:rPr>
        <w:t xml:space="preserve">The v1.0 requirement set AI-01 to AI-09 is retired: the Supplemental TRD’s CLK requirements are canonical and, at the control layer, strictly stronger. The mapping below preserves traceability and records where the supplemental hardened the original ask.</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55"/>
          <w:left w:type="dxa" w:w="100"/>
          <w:bottom w:type="dxa" w:w="55"/>
          <w:right w:type="dxa" w:w="100"/>
        </w:tblCellMar>
      </w:tblPr>
      <w:tblGrid>
        <w:gridCol w:w="964"/>
        <w:gridCol w:w="3855"/>
        <w:gridCol w:w="4819"/>
      </w:tblGrid>
      <w:tr>
        <w:trPr>
          <w:tblHeader/>
        </w:trPr>
        <w:tc>
          <w:tcPr>
            <w:tcW w:type="dxa" w:w="964"/>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v1.0 ID</w:t>
            </w:r>
          </w:p>
        </w:tc>
        <w:tc>
          <w:tcPr>
            <w:tcW w:type="dxa" w:w="3855"/>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What it asked</w:t>
            </w:r>
          </w:p>
        </w:tc>
        <w:tc>
          <w:tcPr>
            <w:tcW w:type="dxa" w:w="4819"/>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Where it now lives, and how it got stronger</w:t>
            </w:r>
          </w:p>
        </w:tc>
      </w:tr>
      <w:tr>
        <w:tc>
          <w:tcPr>
            <w:tcW w:type="dxa" w:w="96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AI-01</w:t>
            </w:r>
          </w:p>
        </w:tc>
        <w:tc>
          <w:tcPr>
            <w:tcW w:type="dxa" w:w="385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Grounding lock with citations; monthly zero-unsupported-claims audit.</w:t>
            </w:r>
          </w:p>
        </w:tc>
        <w:tc>
          <w:tcPr>
            <w:tcW w:type="dxa" w:w="4819"/>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CLK-AI-03 and CLK-AI-04: binding values inserted deterministically from ClaimRecords, refusal on any unsupported request — upgraded from retrieval-and-transcribe to protected fields the model cannot touch, and from a monthly audit to continuous deterministic checks plus the monthly governance audit.</w:t>
            </w:r>
          </w:p>
        </w:tc>
      </w:tr>
      <w:tr>
        <w:tc>
          <w:tcPr>
            <w:tcW w:type="dxa" w:w="96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AI-02</w:t>
            </w:r>
          </w:p>
        </w:tc>
        <w:tc>
          <w:tcPr>
            <w:tcW w:type="dxa" w:w="385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WhatsApp and in-app channels in four languages; SEC-12 pointers.</w:t>
            </w:r>
          </w:p>
        </w:tc>
        <w:tc>
          <w:tcPr>
            <w:tcW w:type="dxa" w:w="4819"/>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Supplemental capture and messaging sections; languages re-gated per C2 and C3 — English first, each further language behind an independent local benchmark. The v1.0 four-at-launch promise is withdrawn.</w:t>
            </w:r>
          </w:p>
        </w:tc>
      </w:tr>
      <w:tr>
        <w:tc>
          <w:tcPr>
            <w:tcW w:type="dxa" w:w="96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AI-03</w:t>
            </w:r>
          </w:p>
        </w:tc>
        <w:tc>
          <w:tcPr>
            <w:tcW w:type="dxa" w:w="385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Extraction humility: below-threshold fields asked, never auto-filled.</w:t>
            </w:r>
          </w:p>
        </w:tc>
        <w:tc>
          <w:tcPr>
            <w:tcW w:type="dxa" w:w="4819"/>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Supplemental capture requirements plus CLK-AI-05 risk- and field-specific confidence routing; corrections persist as labeled outcomes feeding the C4 substrate.</w:t>
            </w:r>
          </w:p>
        </w:tc>
      </w:tr>
      <w:tr>
        <w:tc>
          <w:tcPr>
            <w:tcW w:type="dxa" w:w="96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AI-04</w:t>
            </w:r>
          </w:p>
        </w:tc>
        <w:tc>
          <w:tcPr>
            <w:tcW w:type="dxa" w:w="385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Human-in-the-loop on the Desk tier.</w:t>
            </w:r>
          </w:p>
        </w:tc>
        <w:tc>
          <w:tcPr>
            <w:tcW w:type="dxa" w:w="4819"/>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Supplemental Section 9 and the tool gateway: no submission tool exists for any Clerk identity — absence of capability, which is stronger than policy.</w:t>
            </w:r>
          </w:p>
        </w:tc>
      </w:tr>
      <w:tr>
        <w:tc>
          <w:tcPr>
            <w:tcW w:type="dxa" w:w="96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AI-05</w:t>
            </w:r>
          </w:p>
        </w:tc>
        <w:tc>
          <w:tcPr>
            <w:tcW w:type="dxa" w:w="385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Deterministic status lights, no probabilities in v1.</w:t>
            </w:r>
          </w:p>
        </w:tc>
        <w:tc>
          <w:tcPr>
            <w:tcW w:type="dxa" w:w="4819"/>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Supplemental deterministic validation, typed outputs and reason codes; probabilistic display remains Stage-2 gated per Section 5 of this brief.</w:t>
            </w:r>
          </w:p>
        </w:tc>
      </w:tr>
      <w:tr>
        <w:tc>
          <w:tcPr>
            <w:tcW w:type="dxa" w:w="96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AI-06</w:t>
            </w:r>
          </w:p>
        </w:tc>
        <w:tc>
          <w:tcPr>
            <w:tcW w:type="dxa" w:w="385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Confirmation chasing with cadence caps and opt-out.</w:t>
            </w:r>
          </w:p>
        </w:tc>
        <w:tc>
          <w:tcPr>
            <w:tcW w:type="dxa" w:w="4819"/>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supplemental buyer-follow-up requirements behind BR-02, with legal basis, wording and thresholds assigned to OPEN-10.</w:t>
            </w:r>
          </w:p>
        </w:tc>
      </w:tr>
      <w:tr>
        <w:tc>
          <w:tcPr>
            <w:tcW w:type="dxa" w:w="96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AI-07</w:t>
            </w:r>
          </w:p>
        </w:tc>
        <w:tc>
          <w:tcPr>
            <w:tcW w:type="dxa" w:w="385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Total auditability with versioned models and prompts.</w:t>
            </w:r>
          </w:p>
        </w:tc>
        <w:tc>
          <w:tcPr>
            <w:tcW w:type="dxa" w:w="4819"/>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CLK-AI-07 plus the supplemental audit-event catalogue riding CORE-05; historical cases reproduce against recorded configuration.</w:t>
            </w:r>
          </w:p>
        </w:tc>
      </w:tr>
      <w:tr>
        <w:tc>
          <w:tcPr>
            <w:tcW w:type="dxa" w:w="96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AI-08</w:t>
            </w:r>
          </w:p>
        </w:tc>
        <w:tc>
          <w:tcPr>
            <w:tcW w:type="dxa" w:w="385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Residency and inference locality; in-country by default.</w:t>
            </w:r>
          </w:p>
        </w:tc>
        <w:tc>
          <w:tcPr>
            <w:tcW w:type="dxa" w:w="4819"/>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OPEN-6 (shared verbatim) plus OPEN-11 and OPEN-13, enforced through the single inference-gateway architecture with no unmanaged provider endpoint.</w:t>
            </w:r>
          </w:p>
        </w:tc>
      </w:tr>
      <w:tr>
        <w:tc>
          <w:tcPr>
            <w:tcW w:type="dxa" w:w="96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AI-09</w:t>
            </w:r>
          </w:p>
        </w:tc>
        <w:tc>
          <w:tcPr>
            <w:tcW w:type="dxa" w:w="385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Kill checks and pause switches.</w:t>
            </w:r>
          </w:p>
        </w:tc>
        <w:tc>
          <w:tcPr>
            <w:tcW w:type="dxa" w:w="4819"/>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supplemental severity-zero hard-stop list and per-capability kill switches (CLK-AI-11), governed by the monthly Clerk Readiness Review.</w:t>
            </w:r>
          </w:p>
        </w:tc>
      </w:tr>
    </w:tbl>
    <w:p>
      <w:pPr>
        <w:spacing w:after="120"/>
      </w:pPr>
    </w:p>
    <w:p>
      <w:pPr>
        <w:pStyle w:val="Heading1"/>
      </w:pPr>
      <w:r>
        <w:t xml:space="preserve">5. The ProofGraph Track: Five Stages, Each Behind a Gate</w:t>
      </w:r>
    </w:p>
    <w:p>
      <w:pPr>
        <w:spacing w:after="140" w:line="276"/>
        <w:jc w:val="both"/>
      </w:pPr>
      <w:r>
        <w:rPr>
          <w:rFonts w:ascii="Calibri" w:cs="Calibri" w:eastAsia="Calibri" w:hAnsi="Calibri"/>
          <w:b w:val="false"/>
          <w:bCs w:val="false"/>
          <w:i w:val="false"/>
          <w:iCs w:val="false"/>
          <w:color w:val="222222"/>
          <w:sz w:val="22"/>
          <w:szCs w:val="22"/>
        </w:rPr>
        <w:t xml:space="preserve">ProofGraph is the adopted name for the intelligence layer the roadmap already builds — the fraud rules of CR-02, the eligibility engine of CR-01, the scorecard of CR-03 and the bank data room of CR-04, sitting on the outcome graph that the append-only lifecycle of CORE-02 is. The external proposal's contribution is the framing and the destination; the stack's contribution is the order and the leash. The track below states, stage by stage, what turns on, what gate opens it, and what may never be shown before its gate.</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55"/>
          <w:left w:type="dxa" w:w="100"/>
          <w:bottom w:type="dxa" w:w="55"/>
          <w:right w:type="dxa" w:w="100"/>
        </w:tblCellMar>
      </w:tblPr>
      <w:tblGrid>
        <w:gridCol w:w="1349"/>
        <w:gridCol w:w="3277"/>
        <w:gridCol w:w="2891"/>
        <w:gridCol w:w="2121"/>
      </w:tblGrid>
      <w:tr>
        <w:trPr>
          <w:tblHeader/>
        </w:trPr>
        <w:tc>
          <w:tcPr>
            <w:tcW w:type="dxa" w:w="1349"/>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Stage</w:t>
            </w:r>
          </w:p>
        </w:tc>
        <w:tc>
          <w:tcPr>
            <w:tcW w:type="dxa" w:w="3277"/>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What turns on</w:t>
            </w:r>
          </w:p>
        </w:tc>
        <w:tc>
          <w:tcPr>
            <w:tcW w:type="dxa" w:w="2891"/>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Gate that opens it</w:t>
            </w:r>
          </w:p>
        </w:tc>
        <w:tc>
          <w:tcPr>
            <w:tcW w:type="dxa" w:w="2121"/>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Hard boundary</w:t>
            </w:r>
          </w:p>
        </w:tc>
      </w:tr>
      <w:tr>
        <w:tc>
          <w:tcPr>
            <w:tcW w:type="dxa" w:w="1349"/>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Stage 0 — now, with Clerk (R2)</w:t>
            </w:r>
          </w:p>
        </w:tc>
        <w:tc>
          <w:tcPr>
            <w:tcW w:type="dxa" w:w="327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Outcome labeling as exhaust: corrections, resolutions, confirmations, settlement matches accumulate as the training corpus; deterministic status lights ship.</w:t>
            </w:r>
          </w:p>
        </w:tc>
        <w:tc>
          <w:tcPr>
            <w:tcW w:type="dxa" w:w="289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Clerk's own R2 gate (Desk support-load evidence).</w:t>
            </w:r>
          </w:p>
        </w:tc>
        <w:tc>
          <w:tcPr>
            <w:tcW w:type="dxa" w:w="212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No probabilities anywhere; layer-two consent governs aggregated learning.</w:t>
            </w:r>
          </w:p>
        </w:tc>
      </w:tr>
      <w:tr>
        <w:tc>
          <w:tcPr>
            <w:tcW w:type="dxa" w:w="1349"/>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Stage 1 — R3 (branded ProofGraph)</w:t>
            </w:r>
          </w:p>
        </w:tc>
        <w:tc>
          <w:tcPr>
            <w:tcW w:type="dxa" w:w="327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Rules-first intelligence: anomaly and duplicate detection, related-party and circular-invoice graph checks, invoice-to-bank matching (SME-07), eligibility engine, scorecard v0, bank data room.</w:t>
            </w:r>
          </w:p>
        </w:tc>
        <w:tc>
          <w:tcPr>
            <w:tcW w:type="dxa" w:w="289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300+ credit-observable businesses and the conditional bank MOU (existing R3 gates).</w:t>
            </w:r>
          </w:p>
        </w:tc>
        <w:tc>
          <w:tcPr>
            <w:tcW w:type="dxa" w:w="212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Statistical performance claims remain forbidden per CR-02; outputs are rules with reason codes.</w:t>
            </w:r>
          </w:p>
        </w:tc>
      </w:tr>
      <w:tr>
        <w:tc>
          <w:tcPr>
            <w:tcW w:type="dxa" w:w="1349"/>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Stage 2 — predictive layer</w:t>
            </w:r>
          </w:p>
        </w:tc>
        <w:tc>
          <w:tcPr>
            <w:tcW w:type="dxa" w:w="327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Calibrated prediction, bank-facing first: pre-submission rejection likelihood and payment-delay bands, published with calibration curves and versioned models.</w:t>
            </w:r>
          </w:p>
        </w:tc>
        <w:tc>
          <w:tcPr>
            <w:tcW w:type="dxa" w:w="289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 named outcome threshold: enough confirmed settlement and rejection outcomes, across enough quarters, that calibration can be reported honestly — the CR-02 condition, quantified with the design-partner bank.</w:t>
            </w:r>
          </w:p>
        </w:tc>
        <w:tc>
          <w:tcPr>
            <w:tcW w:type="dxa" w:w="212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Nothing predictive is SME-facing until the bank-facing version has survived a full pilot quarter in spec.</w:t>
            </w:r>
          </w:p>
        </w:tc>
      </w:tr>
      <w:tr>
        <w:tc>
          <w:tcPr>
            <w:tcW w:type="dxa" w:w="1349"/>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Stage 3 — the Finance-Readiness Passport (R4+)</w:t>
            </w:r>
          </w:p>
        </w:tc>
        <w:tc>
          <w:tcPr>
            <w:tcW w:type="dxa" w:w="3277"/>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SME-facing face of the eligibility engine: an explainable, permissioned readiness profile a business may choose to share with a lender.</w:t>
            </w:r>
          </w:p>
        </w:tc>
        <w:tc>
          <w:tcPr>
            <w:tcW w:type="dxa" w:w="289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R4 live, counsel sign-off, layer-three consent per client, and lender validation that the reason codes are underwritable.</w:t>
            </w:r>
          </w:p>
        </w:tc>
        <w:tc>
          <w:tcPr>
            <w:tcW w:type="dxa" w:w="2121"/>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lender decides; MeridianIQ supplies evidence and explanations, never a credit decision. The credit-language embargo lifts only here.</w:t>
            </w:r>
          </w:p>
        </w:tc>
      </w:tr>
      <w:tr>
        <w:tc>
          <w:tcPr>
            <w:tcW w:type="dxa" w:w="1349"/>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Stage 4 — platform era (R5+)</w:t>
            </w:r>
          </w:p>
        </w:tc>
        <w:tc>
          <w:tcPr>
            <w:tcW w:type="dxa" w:w="3277"/>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Per-analysed-invoice API and licensing to platforms, providers and lenders; portfolio monitoring for funders.</w:t>
            </w:r>
          </w:p>
        </w:tc>
        <w:tc>
          <w:tcPr>
            <w:tcW w:type="dxa" w:w="289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Four in-spec quarters and the R5 gates; commercial terms per programme.</w:t>
            </w:r>
          </w:p>
        </w:tc>
        <w:tc>
          <w:tcPr>
            <w:tcW w:type="dxa" w:w="2121"/>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consent architecture travels with every record; no data product exists outside it.</w:t>
            </w:r>
          </w:p>
        </w:tc>
      </w:tr>
    </w:tbl>
    <w:p>
      <w:pPr>
        <w:spacing w:after="120"/>
      </w:pPr>
    </w:p>
    <w:p>
      <w:pPr>
        <w:spacing w:after="140" w:line="276"/>
        <w:jc w:val="both"/>
      </w:pPr>
      <w:r>
        <w:rPr>
          <w:rFonts w:ascii="Calibri" w:cs="Calibri" w:eastAsia="Calibri" w:hAnsi="Calibri"/>
          <w:b w:val="false"/>
          <w:bCs w:val="false"/>
          <w:i w:val="false"/>
          <w:iCs w:val="false"/>
          <w:color w:val="222222"/>
          <w:sz w:val="22"/>
          <w:szCs w:val="22"/>
        </w:rPr>
        <w:t xml:space="preserve">Alignment with the supplementals: Stages 0 and 1 are hosted by the supplemental phases C1 to C4, and the supplemental C4 bar — at least 5,000 audited Clerk cases with stable cohort performance — is adopted as an input to the Stage 2 threshold, which remains a number to be fixed with the design-partner bank (OPEN-15).</w:t>
      </w:r>
    </w:p>
    <w:p>
      <w:pPr>
        <w:pStyle w:val="Heading2"/>
      </w:pPr>
      <w:r>
        <w:t xml:space="preserve">5.1 The safeguards standard (adopted from the external proposal, credited)</w:t>
      </w:r>
    </w:p>
    <w:p>
      <w:pPr>
        <w:spacing w:after="140" w:line="276"/>
        <w:jc w:val="both"/>
      </w:pPr>
      <w:r>
        <w:rPr>
          <w:rFonts w:ascii="Calibri" w:cs="Calibri" w:eastAsia="Calibri" w:hAnsi="Calibri"/>
          <w:b w:val="false"/>
          <w:bCs w:val="false"/>
          <w:i w:val="false"/>
          <w:iCs w:val="false"/>
          <w:color w:val="222222"/>
          <w:sz w:val="22"/>
          <w:szCs w:val="22"/>
        </w:rPr>
        <w:t xml:space="preserve">From Stage 1 onward, every ProofGraph output carries the external proposal's safeguards as requirements, not aspirations: clear reason codes; the supporting evidence; a confidence statement only where calibration exists to back it; a recommended corrective action; a human-review route; versioned model and rule history so any past decision replays; and user-controlled sharing permissions. The proposal's closing allocation of authority is adopted verbatim in spirit: the lender makes the final credit decision, while MeridianIQ supplies verified evidence and explainable indicators.</w:t>
      </w:r>
    </w:p>
    <w:p>
      <w:pPr>
        <w:pStyle w:val="Heading1"/>
      </w:pPr>
      <w:r>
        <w:t xml:space="preserve">6. Consent, Embargo and Residency Mapping</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55"/>
          <w:left w:type="dxa" w:w="100"/>
          <w:bottom w:type="dxa" w:w="55"/>
          <w:right w:type="dxa" w:w="100"/>
        </w:tblCellMar>
      </w:tblPr>
      <w:tblGrid>
        <w:gridCol w:w="2506"/>
        <w:gridCol w:w="4048"/>
        <w:gridCol w:w="3084"/>
      </w:tblGrid>
      <w:tr>
        <w:trPr>
          <w:tblHeader/>
        </w:trPr>
        <w:tc>
          <w:tcPr>
            <w:tcW w:type="dxa" w:w="2506"/>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Rule in the stack</w:t>
            </w:r>
          </w:p>
        </w:tc>
        <w:tc>
          <w:tcPr>
            <w:tcW w:type="dxa" w:w="4048"/>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How Clerk and ProofGraph comply</w:t>
            </w:r>
          </w:p>
        </w:tc>
        <w:tc>
          <w:tcPr>
            <w:tcW w:type="dxa" w:w="3084"/>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Where enforced</w:t>
            </w:r>
          </w:p>
        </w:tc>
      </w:tr>
      <w:tr>
        <w:tc>
          <w:tcPr>
            <w:tcW w:type="dxa" w:w="250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Three-layer consent (Plan 7.2)</w:t>
            </w:r>
          </w:p>
        </w:tc>
        <w:tc>
          <w:tcPr>
            <w:tcW w:type="dxa" w:w="4048"/>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Clerk's operations on a client's own data are layer one; cross-client learning uses only irreversibly aggregated layer-two data; the Passport and any lender sharing require explicit layer-three consent per client.</w:t>
            </w:r>
          </w:p>
        </w:tc>
        <w:tc>
          <w:tcPr>
            <w:tcW w:type="dxa" w:w="308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CORE-03 permission query on every code path; SEC-07 lint</w:t>
            </w:r>
          </w:p>
        </w:tc>
      </w:tr>
      <w:tr>
        <w:tc>
          <w:tcPr>
            <w:tcW w:type="dxa" w:w="250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SEC-12 messaging boundary</w:t>
            </w:r>
          </w:p>
        </w:tc>
        <w:tc>
          <w:tcPr>
            <w:tcW w:type="dxa" w:w="4048"/>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All outbound Clerk messages are pointers; inbound media is client-initiated and consented, stored on Nigeria-resident infrastructure.</w:t>
            </w:r>
          </w:p>
        </w:tc>
        <w:tc>
          <w:tcPr>
            <w:tcW w:type="dxa" w:w="308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Template lint; media-storage policy</w:t>
            </w:r>
          </w:p>
        </w:tc>
      </w:tr>
      <w:tr>
        <w:tc>
          <w:tcPr>
            <w:tcW w:type="dxa" w:w="250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Credit-language embargo (M&amp;S rules)</w:t>
            </w:r>
          </w:p>
        </w:tc>
        <w:tc>
          <w:tcPr>
            <w:tcW w:type="dxa" w:w="4048"/>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Clerk answers any financing question with the scripted deflection from the Marketing appendix, verbatim, and logs the interest; the embargo lifts only at Stage 3.</w:t>
            </w:r>
          </w:p>
        </w:tc>
        <w:tc>
          <w:tcPr>
            <w:tcW w:type="dxa" w:w="308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Response template set; claims register embargo list</w:t>
            </w:r>
          </w:p>
        </w:tc>
      </w:tr>
      <w:tr>
        <w:tc>
          <w:tcPr>
            <w:tcW w:type="dxa" w:w="250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Claims governance</w:t>
            </w:r>
          </w:p>
        </w:tc>
        <w:tc>
          <w:tcPr>
            <w:tcW w:type="dxa" w:w="4048"/>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Clerk may quote only register entries flagged Clerk-quotable, a new register column; register updates propagate within one working day.</w:t>
            </w:r>
          </w:p>
        </w:tc>
        <w:tc>
          <w:tcPr>
            <w:tcW w:type="dxa" w:w="308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Register schema; continuous deterministic checks plus the monthly governance audit (Supplemental s.12)</w:t>
            </w:r>
          </w:p>
        </w:tc>
      </w:tr>
      <w:tr>
        <w:tc>
          <w:tcPr>
            <w:tcW w:type="dxa" w:w="2506"/>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Rules-first fraud (CR-02)</w:t>
            </w:r>
          </w:p>
        </w:tc>
        <w:tc>
          <w:tcPr>
            <w:tcW w:type="dxa" w:w="4048"/>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No probabilistic claim before the Stage 2 outcome threshold; the amber example in this brief contains no percentage by design.</w:t>
            </w:r>
          </w:p>
        </w:tc>
        <w:tc>
          <w:tcPr>
            <w:tcW w:type="dxa" w:w="3084"/>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Supplemental deterministic validation and typed outputs; Stage-2 gate</w:t>
            </w:r>
          </w:p>
        </w:tc>
      </w:tr>
      <w:tr>
        <w:tc>
          <w:tcPr>
            <w:tcW w:type="dxa" w:w="2506"/>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Residency (C4, NDPA)</w:t>
            </w:r>
          </w:p>
        </w:tc>
        <w:tc>
          <w:tcPr>
            <w:tcW w:type="dxa" w:w="4048"/>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In-country inference by default; any exception requires the OPEN-6 counsel opinion; voice notes are personal data and follow the same residency and retention policy as invoice media.</w:t>
            </w:r>
          </w:p>
        </w:tc>
        <w:tc>
          <w:tcPr>
            <w:tcW w:type="dxa" w:w="3084"/>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OPEN-6, OPEN-11 and OPEN-13; the inference-gateway architecture</w:t>
            </w:r>
          </w:p>
        </w:tc>
      </w:tr>
    </w:tbl>
    <w:p>
      <w:pPr>
        <w:spacing w:after="120"/>
      </w:pPr>
    </w:p>
    <w:p>
      <w:pPr>
        <w:pStyle w:val="Heading1"/>
      </w:pPr>
      <w:r>
        <w:t xml:space="preserve">7. Commercial Model and Financial-Model Impact</w:t>
      </w:r>
    </w:p>
    <w:p>
      <w:pPr>
        <w:spacing w:after="140" w:line="276"/>
        <w:jc w:val="both"/>
      </w:pPr>
      <w:r>
        <w:rPr>
          <w:rFonts w:ascii="Calibri" w:cs="Calibri" w:eastAsia="Calibri" w:hAnsi="Calibri"/>
          <w:b w:val="false"/>
          <w:bCs w:val="false"/>
          <w:i w:val="false"/>
          <w:iCs w:val="false"/>
          <w:color w:val="222222"/>
          <w:sz w:val="22"/>
          <w:szCs w:val="22"/>
        </w:rPr>
        <w:t xml:space="preserve">Clerk is not sold as an add-on; it is the Compliance Desk, staffed. The tier's economics are the business case: the financial model carries Desk clients per operator at 40 (Assumptions!B78), and Clerk's job is to move it through the supplemental ladder — 60, then 90, then a tested 120 — each band sustained for weeks with service-level, quality and staff-wellbeing guardrails intact, and the human still approving every submission — taking Desk-tier gross margin from the mid-fifties toward platform grade on exactly the tier the small wave wants to buy. The deterministic status lights ship in the Professional tier, deepening the tier that produces credit-visible data. Stage 1 and 2 ProofGraph are not separately priced: they are the machinery of facilitation revenue and are paid for by the take rate. The Passport is free to the SME at Stage 3, because it is the credit funnel, not a product. The per-invoice API of Stage 4 is a drawer item with the platform era. Model impact now: none — B78 stays at 40 until Clerk proves otherwise; when evidence lands, the staged ratio (40, 60, 90, 120) becomes a model v1.2 input with its margin flow-through, and not before. The channel hears one sentence: your firm gets an AI-staffed back office under your own brand, and the demonstration is ninety seconds long (Appendix A).</w:t>
      </w:r>
    </w:p>
    <w:p>
      <w:pPr>
        <w:pStyle w:val="Heading1"/>
      </w:pPr>
      <w:r>
        <w:t xml:space="preserve">8. Gates and Kill Checks</w:t>
      </w:r>
    </w:p>
    <w:p>
      <w:pPr>
        <w:spacing w:after="140" w:line="276"/>
        <w:jc w:val="both"/>
      </w:pPr>
      <w:r>
        <w:rPr>
          <w:rFonts w:ascii="Calibri" w:cs="Calibri" w:eastAsia="Calibri" w:hAnsi="Calibri"/>
          <w:b w:val="false"/>
          <w:bCs w:val="false"/>
          <w:i w:val="false"/>
          <w:iCs w:val="false"/>
          <w:color w:val="222222"/>
          <w:sz w:val="22"/>
          <w:szCs w:val="22"/>
        </w:rPr>
        <w:t xml:space="preserve">Clerk now unlocks phase by phase under the supplemental gates, which supersede the single R2 condition of v1.0. C0 exits when the error catalogue covers 80 percent of encountered failures, every in-scope binding fact has an active claim object, the operator baseline is measured rather than assumed, and DPO, counsel and security approve the shadow architecture. C1 shadow exits on zero unsupported binding claims across the held-out and adversarial evaluation sets, exact protected-fact linkage, and at least a 25 percent handling-time reduction on a real shadow cohort. C2 is a designed six-week pilot with its own scorecard, and no client sees Clerk before it. Standing enforcement is upgraded from the v1.0 monthly audit to continuous deterministic checks plus the monthly governance audit, with the supplemental severity-zero hard stops — one unsupported binding fact reaching a customer, one unapproved submission, one Clerk-caused penalty — disabling the capability immediately, and a monthly Clerk Readiness Review at which commercial urgency cannot waive a safety gate. ProofGraph inherits the Section 5 stages unchanged, with the Stage 2 outcome threshold to be written as a number with the design-partner bank (OPEN-15). The asymmetry that governs the whole stack governs here: any phase may be cut or delayed at will; none may be pulled forward of its gate.</w:t>
      </w:r>
    </w:p>
    <w:p>
      <w:pPr>
        <w:pStyle w:val="Heading1"/>
      </w:pPr>
      <w:r>
        <w:t xml:space="preserve">9. Open Questions — the Canonical Register</w:t>
      </w:r>
    </w:p>
    <w:p>
      <w:pPr>
        <w:spacing w:after="140" w:line="276"/>
        <w:jc w:val="both"/>
      </w:pPr>
      <w:r>
        <w:rPr>
          <w:rFonts w:ascii="Calibri" w:cs="Calibri" w:eastAsia="Calibri" w:hAnsi="Calibri"/>
          <w:b w:val="false"/>
          <w:bCs w:val="false"/>
          <w:i w:val="false"/>
          <w:iCs w:val="false"/>
          <w:color w:val="222222"/>
          <w:sz w:val="22"/>
          <w:szCs w:val="22"/>
        </w:rPr>
        <w:t xml:space="preserve">The canonical open-decision register is now Section 14 of the Supplemental TRD, OPEN-6 through OPEN-14; the v1.0 numbering of this brief created a collision (two different OPEN-7s, 8s and 9s across the stack) and is retired. The disposition of the old entries, and this brief’s one surviving contribution, follow.</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55"/>
          <w:left w:type="dxa" w:w="100"/>
          <w:bottom w:type="dxa" w:w="55"/>
          <w:right w:type="dxa" w:w="100"/>
        </w:tblCellMar>
      </w:tblPr>
      <w:tblGrid>
        <w:gridCol w:w="1542"/>
        <w:gridCol w:w="4433"/>
        <w:gridCol w:w="3663"/>
      </w:tblGrid>
      <w:tr>
        <w:trPr>
          <w:tblHeader/>
        </w:trPr>
        <w:tc>
          <w:tcPr>
            <w:tcW w:type="dxa" w:w="1542"/>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Ref</w:t>
            </w:r>
          </w:p>
        </w:tc>
        <w:tc>
          <w:tcPr>
            <w:tcW w:type="dxa" w:w="4433"/>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Status and substance</w:t>
            </w:r>
          </w:p>
        </w:tc>
        <w:tc>
          <w:tcPr>
            <w:tcW w:type="dxa" w:w="3663"/>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Owner and blocking effect</w:t>
            </w:r>
          </w:p>
        </w:tc>
      </w:tr>
      <w:tr>
        <w:tc>
          <w:tcPr>
            <w:tcW w:type="dxa" w:w="1542"/>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OPEN-6</w:t>
            </w:r>
          </w:p>
        </w:tc>
        <w:tc>
          <w:tcPr>
            <w:tcW w:type="dxa" w:w="443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Shared verbatim between both documents: residency and inference locality for media, transcription, model inference, telemetry, backups and vendor support, including the WhatsApp processing chain.</w:t>
            </w:r>
          </w:p>
        </w:tc>
        <w:tc>
          <w:tcPr>
            <w:tcW w:type="dxa" w:w="366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DPO, counsel, CTO and security; blocks real-client inference and client-facing WhatsApp.</w:t>
            </w:r>
          </w:p>
        </w:tc>
      </w:tr>
      <w:tr>
        <w:tc>
          <w:tcPr>
            <w:tcW w:type="dxa" w:w="1542"/>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v1.0 OPEN-7 (retired)</w:t>
            </w:r>
          </w:p>
        </w:tc>
        <w:tc>
          <w:tcPr>
            <w:tcW w:type="dxa" w:w="4433"/>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WhatsApp Business API mechanics — template approval, session windows, cadence rules — folds into the supplemental OPEN-10 (buyer-reminder legal basis and cadence) and OPEN-13 (provider terms, subprocessors, media retention).</w:t>
            </w:r>
          </w:p>
        </w:tc>
        <w:tc>
          <w:tcPr>
            <w:tcW w:type="dxa" w:w="3663"/>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Engineering and DPO per the supplemental register.</w:t>
            </w:r>
          </w:p>
        </w:tc>
      </w:tr>
      <w:tr>
        <w:tc>
          <w:tcPr>
            <w:tcW w:type="dxa" w:w="1542"/>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v1.0 OPEN-8 (retired)</w:t>
            </w:r>
          </w:p>
        </w:tc>
        <w:tc>
          <w:tcPr>
            <w:tcW w:type="dxa" w:w="443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Voice-data treatment under the NDPA folds into the supplemental OPEN-6 (residency and processing) and OPEN-8 (retention and deletion of raw media, transcripts, prompts and embeddings).</w:t>
            </w:r>
          </w:p>
        </w:tc>
        <w:tc>
          <w:tcPr>
            <w:tcW w:type="dxa" w:w="366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Counsel and DPO per the supplemental register.</w:t>
            </w:r>
          </w:p>
        </w:tc>
      </w:tr>
      <w:tr>
        <w:tc>
          <w:tcPr>
            <w:tcW w:type="dxa" w:w="1542"/>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OPEN-15 (new, this brief)</w:t>
            </w:r>
          </w:p>
        </w:tc>
        <w:tc>
          <w:tcPr>
            <w:tcW w:type="dxa" w:w="4433"/>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The Stage 2 outcome threshold: the number of confirmed settlement and rejection outcomes, the quarters of history, and the calibration-reporting format the design-partner bank requires before any prediction may be shown — the quantified form of the CR-02 condition.</w:t>
            </w:r>
          </w:p>
        </w:tc>
        <w:tc>
          <w:tcPr>
            <w:tcW w:type="dxa" w:w="3663"/>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Founder with the design-partner bank in the R3 sessions; blocks ProofGraph Stage 2 by design.</w:t>
            </w:r>
          </w:p>
        </w:tc>
      </w:tr>
    </w:tbl>
    <w:p>
      <w:pPr>
        <w:spacing w:after="120"/>
      </w:pPr>
    </w:p>
    <w:p>
      <w:r>
        <w:br w:type="page"/>
      </w:r>
    </w:p>
    <w:p>
      <w:pPr>
        <w:pStyle w:val="Heading1"/>
      </w:pPr>
      <w:r>
        <w:t xml:space="preserve">Appendix A: A Ninety-Second Interaction, Scripted</w:t>
      </w:r>
    </w:p>
    <w:p>
      <w:pPr>
        <w:spacing w:after="140" w:line="276"/>
        <w:jc w:val="both"/>
      </w:pPr>
      <w:r>
        <w:rPr>
          <w:rFonts w:ascii="Calibri" w:cs="Calibri" w:eastAsia="Calibri" w:hAnsi="Calibri"/>
          <w:b w:val="false"/>
          <w:bCs w:val="false"/>
          <w:i w:val="false"/>
          <w:iCs w:val="false"/>
          <w:color w:val="222222"/>
          <w:sz w:val="22"/>
          <w:szCs w:val="22"/>
        </w:rPr>
        <w:t xml:space="preserve">The CPD-circuit demonstration, word for word. A shop owner in Surulere sends a voice note and a photo of a handwritten invoice to the firm's WhatsApp line. A v1.1 honesty note: this Pidgin script is a C3-era artifact, since Pidgin ships only after its independent benchmark passes — the C2-pilot demonstration runs the identical flow in Nigerian English.</w:t>
      </w:r>
    </w:p>
    <w:tbl>
      <w:tblPr>
        <w:tblW w:type="dxa" w:w="9638"/>
        <w:tblBorders>
          <w:top w:val="single" w:color="B9C9C5" w:sz="4"/>
          <w:left w:val="single" w:color="B9C9C5" w:sz="4"/>
          <w:bottom w:val="single" w:color="B9C9C5" w:sz="4"/>
          <w:right w:val="single" w:color="B9C9C5" w:sz="4"/>
          <w:insideH w:val="single" w:color="D5E0DD" w:sz="4"/>
          <w:insideV w:val="single" w:color="D5E0DD" w:sz="4"/>
        </w:tblBorders>
        <w:tblCellMar>
          <w:top w:type="dxa" w:w="55"/>
          <w:left w:type="dxa" w:w="100"/>
          <w:bottom w:type="dxa" w:w="55"/>
          <w:right w:type="dxa" w:w="100"/>
        </w:tblCellMar>
      </w:tblPr>
      <w:tblGrid>
        <w:gridCol w:w="1735"/>
        <w:gridCol w:w="7903"/>
      </w:tblGrid>
      <w:tr>
        <w:trPr>
          <w:tblHeader/>
        </w:trPr>
        <w:tc>
          <w:tcPr>
            <w:tcW w:type="dxa" w:w="1735"/>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Speaker</w:t>
            </w:r>
          </w:p>
        </w:tc>
        <w:tc>
          <w:tcPr>
            <w:tcW w:type="dxa" w:w="7903"/>
            <w:shd w:fill="0E4C45" w:color="auto" w:val="clear"/>
            <w:vAlign w:val="center"/>
          </w:tcPr>
          <w:p>
            <w:pPr>
              <w:spacing w:after="40" w:before="40" w:line="248"/>
              <w:jc w:val="left"/>
            </w:pPr>
            <w:r>
              <w:rPr>
                <w:rFonts w:ascii="Calibri" w:cs="Calibri" w:eastAsia="Calibri" w:hAnsi="Calibri"/>
                <w:b/>
                <w:bCs/>
                <w:i w:val="false"/>
                <w:iCs w:val="false"/>
                <w:color w:val="FFFFFF"/>
                <w:sz w:val="18"/>
                <w:szCs w:val="18"/>
              </w:rPr>
              <w:t xml:space="preserve">Message</w:t>
            </w:r>
          </w:p>
        </w:tc>
      </w:tr>
      <w:tr>
        <w:tc>
          <w:tcPr>
            <w:tcW w:type="dxa" w:w="173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Client (voice, Pidgin)</w:t>
            </w:r>
          </w:p>
        </w:tc>
        <w:tc>
          <w:tcPr>
            <w:tcW w:type="dxa" w:w="790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Abeg, I sell goods give Chukwuma Stores today, one-fifty thousand. Na the invoice be this.</w:t>
            </w:r>
          </w:p>
        </w:tc>
      </w:tr>
      <w:tr>
        <w:tc>
          <w:tcPr>
            <w:tcW w:type="dxa" w:w="173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Clerk</w:t>
            </w:r>
          </w:p>
        </w:tc>
        <w:tc>
          <w:tcPr>
            <w:tcW w:type="dxa" w:w="7903"/>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I don see am. I read: buyer Chukwuma Stores, amount NGN 150,000, VAT NGN 11,250, date today. One thing remain — the buyer TIN no dey the paper. You fit send am, or make I use the TIN wey dem give us last month for Chukwuma Stores?</w:t>
            </w:r>
          </w:p>
        </w:tc>
      </w:tr>
      <w:tr>
        <w:tc>
          <w:tcPr>
            <w:tcW w:type="dxa" w:w="173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Client</w:t>
            </w:r>
          </w:p>
        </w:tc>
        <w:tc>
          <w:tcPr>
            <w:tcW w:type="dxa" w:w="790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Use the last one.</w:t>
            </w:r>
          </w:p>
        </w:tc>
      </w:tr>
      <w:tr>
        <w:tc>
          <w:tcPr>
            <w:tcW w:type="dxa" w:w="173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Clerk</w:t>
            </w:r>
          </w:p>
        </w:tc>
        <w:tc>
          <w:tcPr>
            <w:tcW w:type="dxa" w:w="7903"/>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Done. E don enter queue; Amaka go check am before e go NRS. I go ping you when the stamp land.</w:t>
            </w:r>
          </w:p>
        </w:tc>
      </w:tr>
      <w:tr>
        <w:tc>
          <w:tcPr>
            <w:tcW w:type="dxa" w:w="173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(Operator approves; submission stamps)</w:t>
            </w:r>
          </w:p>
        </w:tc>
        <w:tc>
          <w:tcPr>
            <w:tcW w:type="dxa" w:w="790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
            </w:r>
          </w:p>
        </w:tc>
      </w:tr>
      <w:tr>
        <w:tc>
          <w:tcPr>
            <w:tcW w:type="dxa" w:w="173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Clerk</w:t>
            </w:r>
          </w:p>
        </w:tc>
        <w:tc>
          <w:tcPr>
            <w:tcW w:type="dxa" w:w="7903"/>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Your invoice don stamp. Open the app make you see am and download the copy: [link]. Anything else?</w:t>
            </w:r>
          </w:p>
        </w:tc>
      </w:tr>
      <w:tr>
        <w:tc>
          <w:tcPr>
            <w:tcW w:type="dxa" w:w="173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Firm partner (to the room, closing the demo)</w:t>
            </w:r>
          </w:p>
        </w:tc>
        <w:tc>
          <w:tcPr>
            <w:tcW w:type="dxa" w:w="790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Now ask it what the fine is for late B2C reporting.</w:t>
            </w:r>
          </w:p>
        </w:tc>
      </w:tr>
      <w:tr>
        <w:tc>
          <w:tcPr>
            <w:tcW w:type="dxa" w:w="173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Clerk</w:t>
            </w:r>
          </w:p>
        </w:tc>
        <w:tc>
          <w:tcPr>
            <w:tcW w:type="dxa" w:w="7903"/>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NGN 50,000 for each day the report late pass 24 hours, under the fiscalisation rules — section reference dey inside the app. If you wan check your own risk, open the penalty calculator here: [link].</w:t>
            </w:r>
          </w:p>
        </w:tc>
      </w:tr>
      <w:tr>
        <w:tc>
          <w:tcPr>
            <w:tcW w:type="dxa" w:w="1735"/>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Partner</w:t>
            </w:r>
          </w:p>
        </w:tc>
        <w:tc>
          <w:tcPr>
            <w:tcW w:type="dxa" w:w="7903"/>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Now ask it something it should not answer.</w:t>
            </w:r>
          </w:p>
        </w:tc>
      </w:tr>
      <w:tr>
        <w:tc>
          <w:tcPr>
            <w:tcW w:type="dxa" w:w="1735"/>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Clerk</w:t>
            </w:r>
          </w:p>
        </w:tc>
        <w:tc>
          <w:tcPr>
            <w:tcW w:type="dxa" w:w="7903"/>
            <w:shd w:fill="F4F8F7" w:color="auto" w:val="clear"/>
            <w:vAlign w:val="center"/>
          </w:tcPr>
          <w:p>
            <w:pPr>
              <w:spacing w:after="40" w:before="40" w:line="248"/>
              <w:jc w:val="left"/>
            </w:pPr>
            <w:r>
              <w:rPr>
                <w:rFonts w:ascii="Calibri" w:cs="Calibri" w:eastAsia="Calibri" w:hAnsi="Calibri"/>
                <w:b w:val="false"/>
                <w:bCs w:val="false"/>
                <w:i w:val="false"/>
                <w:iCs w:val="false"/>
                <w:color w:val="222222"/>
                <w:sz w:val="18"/>
                <w:szCs w:val="18"/>
              </w:rPr>
              <w:t xml:space="preserve">That one pass wetin I sabi confirm from our approved sources. I no go guess am — make I connect you with Amaka? She go call you before close of work.</w:t>
            </w:r>
          </w:p>
        </w:tc>
      </w:tr>
    </w:tbl>
    <w:p>
      <w:pPr>
        <w:spacing w:after="120"/>
      </w:pPr>
    </w:p>
    <w:p>
      <w:pPr>
        <w:pBdr>
          <w:top w:val="single" w:color="DDE7E4" w:sz="2" w:space="4"/>
          <w:bottom w:val="single" w:color="DDE7E4" w:sz="2" w:space="4"/>
          <w:left w:val="single" w:color="C9A227" w:sz="24" w:space="8"/>
          <w:right w:val="single" w:color="DDE7E4" w:sz="2" w:space="4"/>
        </w:pBdr>
        <w:shd w:fill="F2F6F5" w:color="auto" w:val="clear"/>
        <w:spacing w:after="200" w:before="160" w:line="276"/>
        <w:ind w:left="120" w:right="120"/>
        <w:jc w:val="left"/>
      </w:pPr>
      <w:r>
        <w:rPr>
          <w:rFonts w:ascii="Calibri" w:cs="Calibri" w:eastAsia="Calibri" w:hAnsi="Calibri"/>
          <w:b/>
          <w:bCs/>
          <w:i w:val="false"/>
          <w:iCs w:val="false"/>
          <w:color w:val="0A3833"/>
          <w:sz w:val="22"/>
          <w:szCs w:val="22"/>
        </w:rPr>
        <w:t xml:space="preserve">Why the last line is the sale: </w:t>
      </w:r>
      <w:r>
        <w:rPr>
          <w:rFonts w:ascii="Calibri" w:cs="Calibri" w:eastAsia="Calibri" w:hAnsi="Calibri"/>
          <w:b w:val="false"/>
          <w:bCs w:val="false"/>
          <w:i w:val="false"/>
          <w:iCs w:val="false"/>
          <w:color w:val="333333"/>
          <w:sz w:val="22"/>
          <w:szCs w:val="22"/>
        </w:rPr>
        <w:t xml:space="preserve">every accountant in the room has watched software be confidently wrong. The first tax AI in Nigeria that would rather say nothing than be almost right is not a chatbot; it is the claims-governance regime, speaking Pidgin.</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1E8E6" w:sz="4" w:space="4"/>
      </w:pBdr>
      <w:tabs>
        <w:tab w:val="right" w:pos="9638"/>
      </w:tabs>
    </w:pPr>
    <w:r>
      <w:rPr>
        <w:rFonts w:ascii="Calibri" w:cs="Calibri" w:eastAsia="Calibri" w:hAnsi="Calibri"/>
        <w:color w:val="9AA5A2"/>
        <w:sz w:val="16"/>
        <w:szCs w:val="16"/>
      </w:rPr>
      <w:t xml:space="preserve">MeridianIQ — Confidential</w:t>
    </w:r>
    <w:r>
      <w:rPr>
        <w:sz w:val="16"/>
        <w:szCs w:val="16"/>
      </w:rPr>
      <w:t xml:space="preserve">	</w:t>
    </w:r>
    <w:r>
      <w:rPr>
        <w:rFonts w:ascii="Calibri" w:cs="Calibri" w:eastAsia="Calibri" w:hAnsi="Calibri"/>
        <w:color w:val="9AA5A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1E8E6" w:sz="4" w:space="4"/>
      </w:pBdr>
      <w:spacing w:after="0"/>
      <w:jc w:val="right"/>
    </w:pPr>
    <w:r>
      <w:rPr>
        <w:rFonts w:ascii="Calibri" w:cs="Calibri" w:eastAsia="Calibri" w:hAnsi="Calibri"/>
        <w:color w:val="9AA5A2"/>
        <w:sz w:val="16"/>
        <w:szCs w:val="16"/>
      </w:rPr>
      <w:t xml:space="preserve">MeridianIQ AI Feature Brief v1.1  ·  July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A227" w:sz="8" w:space="3"/>
      </w:pBdr>
      <w:spacing w:after="180" w:before="360"/>
    </w:pPr>
    <w:rPr>
      <w:rFonts w:ascii="Calibri" w:cs="Calibri" w:eastAsia="Calibri" w:hAnsi="Calibri"/>
      <w:b/>
      <w:bCs/>
      <w:color w:val="0E4C45"/>
      <w:sz w:val="31"/>
      <w:szCs w:val="31"/>
    </w:rPr>
  </w:style>
  <w:style w:type="paragraph" w:styleId="Heading2">
    <w:name w:val="Heading 2"/>
    <w:basedOn w:val="Normal"/>
    <w:next w:val="Normal"/>
    <w:qFormat/>
    <w:pPr>
      <w:keepNext/>
      <w:spacing w:after="120" w:before="260"/>
    </w:pPr>
    <w:rPr>
      <w:rFonts w:ascii="Calibri" w:cs="Calibri" w:eastAsia="Calibri" w:hAnsi="Calibri"/>
      <w:b/>
      <w:bCs/>
      <w:color w:val="0A3833"/>
      <w:sz w:val="25"/>
      <w:szCs w:val="25"/>
    </w:rPr>
  </w:style>
  <w:style w:type="paragraph" w:styleId="Heading3">
    <w:name w:val="Heading 3"/>
    <w:basedOn w:val="Normal"/>
    <w:next w:val="Normal"/>
    <w:qFormat/>
    <w:pPr>
      <w:keepNext/>
      <w:spacing w:after="100" w:before="200"/>
    </w:pPr>
    <w:rPr>
      <w:rFonts w:ascii="Calibri" w:cs="Calibri" w:eastAsia="Calibri" w:hAnsi="Calibri"/>
      <w:b/>
      <w:bCs/>
      <w:color w:val="3E4B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MeridianIQ AI Feature Brief v1.1 — Clerk and the ProofGraph Track (strategy layer)</dc:title>
  <dc:creator>MeridianIQ</dc:creator>
  <dc:description>Two-layer AI: Clerk (retrieval-locked operator, R2-gated) and ProofGraph (staged intelligence layer)</dc:description>
  <cp:lastModifiedBy>Un-named</cp:lastModifiedBy>
  <cp:revision>1</cp:revision>
  <dcterms:created xsi:type="dcterms:W3CDTF">2026-07-12T15:51:50.278Z</dcterms:created>
  <dcterms:modified xsi:type="dcterms:W3CDTF">2026-07-12T15:51:50.278Z</dcterms:modified>
</cp:coreProperties>
</file>

<file path=docProps/custom.xml><?xml version="1.0" encoding="utf-8"?>
<Properties xmlns="http://schemas.openxmlformats.org/officeDocument/2006/custom-properties" xmlns:vt="http://schemas.openxmlformats.org/officeDocument/2006/docPropsVTypes"/>
</file>