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pPr>
      <w:r>
        <w:rPr>
          <w:rFonts w:ascii="Calibri" w:hAnsi="Calibri"/>
          <w:b/>
          <w:color w:val="2E74B5"/>
          <w:sz w:val="19"/>
        </w:rPr>
        <w:t>MERIDIANIQ EXECUTION PACK</w:t>
      </w:r>
    </w:p>
    <w:p>
      <w:pPr>
        <w:pStyle w:val="Title"/>
      </w:pPr>
      <w:r>
        <w:t>Clerk Supplemental Product Roadmap</w:t>
      </w:r>
    </w:p>
    <w:p>
      <w:pPr>
        <w:pStyle w:val="Subtitle"/>
      </w:pPr>
      <w:r>
        <w:t>Evidence-gated path from governed corpus to AI-assisted Compliance Desk and Buyer Rails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FF4DD" w:val="clear"/>
            <w:tcBorders>
              <w:top w:val="single" w:sz="2" w:space="0" w:color="FFF4DD"/>
              <w:left w:val="single" w:sz="2" w:space="0" w:color="FFF4DD"/>
              <w:bottom w:val="single" w:sz="2" w:space="0" w:color="FFF4DD"/>
              <w:right w:val="single" w:sz="2" w:space="0" w:color="FFF4DD"/>
              <w:insideH w:val="single" w:sz="2" w:space="0" w:color="FFF4DD"/>
              <w:insideV w:val="single" w:sz="2" w:space="0" w:color="FFF4DD"/>
            </w:tcBorders>
            <w:tcMar>
              <w:top w:w="80" w:type="dxa"/>
              <w:bottom w:w="80" w:type="dxa"/>
              <w:start w:w="120" w:type="dxa"/>
              <w:end w:w="120" w:type="dxa"/>
            </w:tcMar>
          </w:tcPr>
          <w:p>
            <w:pPr>
              <w:spacing w:after="0"/>
            </w:pPr>
            <w:r>
              <w:rPr>
                <w:rFonts w:ascii="Calibri" w:hAnsi="Calibri"/>
                <w:b/>
                <w:color w:val="7A5A00"/>
                <w:sz w:val="21"/>
              </w:rPr>
              <w:t xml:space="preserve">STATUS: </w:t>
            </w:r>
            <w:r>
              <w:rPr>
                <w:rFonts w:ascii="Calibri" w:hAnsi="Calibri"/>
                <w:color w:val="111827"/>
                <w:sz w:val="21"/>
              </w:rPr>
              <w:t>Companion to MeridianIQ Product Roadmap v1.1. Clerk does not create a new MeridianIQ release sequence, pull a gate forward or become the sole resolution path for a compliance-critical task.</w:t>
            </w:r>
          </w:p>
        </w:tc>
      </w:tr>
    </w:tbl>
    <w:p>
      <w:pPr>
        <w:spacing w:after="0"/>
      </w:pPr>
    </w:p>
    <w:tbl>
      <w:tblPr>
        <w:tblW w:type="dxa" w:w="9360"/>
        <w:jc w:val="left"/>
        <w:tblLayout w:type="fixed"/>
        <w:tblLook w:firstColumn="1" w:firstRow="1" w:lastColumn="0" w:lastRow="0" w:noHBand="0" w:noVBand="1" w:val="04A0"/>
        <w:tblInd w:type="dxa" w:w="120"/>
      </w:tblPr>
      <w:tblGrid>
        <w:gridCol w:w="1700"/>
        <w:gridCol w:w="7660"/>
      </w:tblGrid>
      <w:tr>
        <w:trPr/>
        <w:tc>
          <w:tcPr>
            <w:tcW w:type="dxa" w:w="1700"/>
            <w:vAlign w:val="center"/>
            <w:shd w:fill="E8EEF5" w:val="clea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b/>
                <w:color w:val="1F4D78"/>
                <w:sz w:val="19"/>
              </w:rPr>
              <w:t>Document</w:t>
            </w:r>
          </w:p>
        </w:tc>
        <w:tc>
          <w:tcPr>
            <w:tcW w:type="dxa" w:w="7660"/>
            <w:vAlign w:val="cente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color w:val="111827"/>
                <w:sz w:val="19"/>
              </w:rPr>
              <w:t>MeridianIQ Clerk Supplemental Product Roadmap</w:t>
            </w:r>
          </w:p>
        </w:tc>
      </w:tr>
      <w:tr>
        <w:trPr/>
        <w:tc>
          <w:tcPr>
            <w:tcW w:type="dxa" w:w="1700"/>
            <w:vAlign w:val="center"/>
            <w:shd w:fill="E8EEF5" w:val="clea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b/>
                <w:color w:val="1F4D78"/>
                <w:sz w:val="19"/>
              </w:rPr>
              <w:t>Version</w:t>
            </w:r>
          </w:p>
        </w:tc>
        <w:tc>
          <w:tcPr>
            <w:tcW w:type="dxa" w:w="7660"/>
            <w:vAlign w:val="cente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color w:val="111827"/>
                <w:sz w:val="19"/>
              </w:rPr>
              <w:t>1.0 — July 2026</w:t>
            </w:r>
          </w:p>
        </w:tc>
      </w:tr>
      <w:tr>
        <w:trPr/>
        <w:tc>
          <w:tcPr>
            <w:tcW w:type="dxa" w:w="1700"/>
            <w:vAlign w:val="center"/>
            <w:shd w:fill="E8EEF5" w:val="clea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b/>
                <w:color w:val="1F4D78"/>
                <w:sz w:val="19"/>
              </w:rPr>
              <w:t>Status</w:t>
            </w:r>
          </w:p>
        </w:tc>
        <w:tc>
          <w:tcPr>
            <w:tcW w:type="dxa" w:w="7660"/>
            <w:vAlign w:val="cente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color w:val="111827"/>
                <w:sz w:val="19"/>
              </w:rPr>
              <w:t>Working execution supplement</w:t>
            </w:r>
          </w:p>
        </w:tc>
      </w:tr>
      <w:tr>
        <w:trPr/>
        <w:tc>
          <w:tcPr>
            <w:tcW w:type="dxa" w:w="1700"/>
            <w:vAlign w:val="center"/>
            <w:shd w:fill="E8EEF5" w:val="clea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b/>
                <w:color w:val="1F4D78"/>
                <w:sz w:val="19"/>
              </w:rPr>
              <w:t>Parent roadmap</w:t>
            </w:r>
          </w:p>
        </w:tc>
        <w:tc>
          <w:tcPr>
            <w:tcW w:type="dxa" w:w="7660"/>
            <w:vAlign w:val="cente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color w:val="111827"/>
                <w:sz w:val="19"/>
              </w:rPr>
              <w:t>MeridianIQ Product Roadmap v1.1</w:t>
            </w:r>
          </w:p>
        </w:tc>
      </w:tr>
      <w:tr>
        <w:trPr/>
        <w:tc>
          <w:tcPr>
            <w:tcW w:type="dxa" w:w="1700"/>
            <w:vAlign w:val="center"/>
            <w:shd w:fill="E8EEF5" w:val="clea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b/>
                <w:color w:val="1F4D78"/>
                <w:sz w:val="19"/>
              </w:rPr>
              <w:t>Companion specification</w:t>
            </w:r>
          </w:p>
        </w:tc>
        <w:tc>
          <w:tcPr>
            <w:tcW w:type="dxa" w:w="7660"/>
            <w:vAlign w:val="cente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color w:val="111827"/>
                <w:sz w:val="19"/>
              </w:rPr>
              <w:t>Clerk Supplemental Technical Requirements v1.0</w:t>
            </w:r>
          </w:p>
        </w:tc>
      </w:tr>
      <w:tr>
        <w:trPr/>
        <w:tc>
          <w:tcPr>
            <w:tcW w:type="dxa" w:w="1700"/>
            <w:vAlign w:val="center"/>
            <w:shd w:fill="E8EEF5" w:val="clea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b/>
                <w:color w:val="1F4D78"/>
                <w:sz w:val="19"/>
              </w:rPr>
              <w:t>Release posture</w:t>
            </w:r>
          </w:p>
        </w:tc>
        <w:tc>
          <w:tcPr>
            <w:tcW w:type="dxa" w:w="7660"/>
            <w:vAlign w:val="center"/>
            <w:tcBorders>
              <w:top w:val="single" w:sz="3" w:space="0" w:color="D5DCE5"/>
              <w:left w:val="single" w:sz="3" w:space="0" w:color="D5DCE5"/>
              <w:bottom w:val="single" w:sz="3" w:space="0" w:color="D5DCE5"/>
              <w:right w:val="single" w:sz="3" w:space="0" w:color="D5DCE5"/>
              <w:insideH w:val="single" w:sz="3" w:space="0" w:color="D5DCE5"/>
              <w:insideV w:val="single" w:sz="3" w:space="0" w:color="D5DCE5"/>
            </w:tcBorders>
            <w:tcMar>
              <w:top w:w="80" w:type="dxa"/>
              <w:bottom w:w="80" w:type="dxa"/>
              <w:start w:w="120" w:type="dxa"/>
              <w:end w:w="120" w:type="dxa"/>
            </w:tcMar>
          </w:tcPr>
          <w:p>
            <w:r>
              <w:rPr>
                <w:rFonts w:ascii="Calibri" w:hAnsi="Calibri"/>
                <w:color w:val="111827"/>
                <w:sz w:val="19"/>
              </w:rPr>
              <w:t>R0–R1 foundation/shadow; controlled client beta remains an R2 candidate</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E7F4EE" w:val="clear"/>
            <w:tcBorders>
              <w:top w:val="single" w:sz="2" w:space="0" w:color="E7F4EE"/>
              <w:left w:val="single" w:sz="2" w:space="0" w:color="E7F4EE"/>
              <w:bottom w:val="single" w:sz="2" w:space="0" w:color="E7F4EE"/>
              <w:right w:val="single" w:sz="2" w:space="0" w:color="E7F4EE"/>
              <w:insideH w:val="single" w:sz="2" w:space="0" w:color="E7F4EE"/>
              <w:insideV w:val="single" w:sz="2" w:space="0" w:color="E7F4EE"/>
            </w:tcBorders>
            <w:tcMar>
              <w:top w:w="80" w:type="dxa"/>
              <w:bottom w:w="80" w:type="dxa"/>
              <w:start w:w="120" w:type="dxa"/>
              <w:end w:w="120" w:type="dxa"/>
            </w:tcMar>
          </w:tcPr>
          <w:p>
            <w:pPr>
              <w:spacing w:after="0"/>
            </w:pPr>
            <w:r>
              <w:rPr>
                <w:rFonts w:ascii="Calibri" w:hAnsi="Calibri"/>
                <w:b/>
                <w:color w:val="26725C"/>
                <w:sz w:val="21"/>
              </w:rPr>
              <w:t xml:space="preserve">STRATEGIC FORMULA: </w:t>
            </w:r>
            <w:r>
              <w:rPr>
                <w:rFonts w:ascii="Calibri" w:hAnsi="Calibri"/>
                <w:color w:val="111827"/>
                <w:sz w:val="21"/>
              </w:rPr>
              <w:t>Clerk is the product wedge; the verified evidence it produces becomes the future ProofGraph substrate. The wedge must prove safety, usefulness and unit economics before the data layer earns broader intelligence.</w:t>
            </w:r>
          </w:p>
        </w:tc>
      </w:tr>
    </w:tbl>
    <w:p>
      <w:pPr>
        <w:spacing w:after="0"/>
      </w:pPr>
    </w:p>
    <w:p>
      <w:r>
        <w:br w:type="page"/>
      </w:r>
    </w:p>
    <w:p>
      <w:pPr>
        <w:pStyle w:val="Heading1"/>
        <w:keepNext/>
      </w:pPr>
      <w:r>
        <w:t>Contents</w:t>
      </w:r>
    </w:p>
    <w:p>
      <w:pPr>
        <w:spacing w:after="100"/>
      </w:pPr>
      <w:r>
        <w:rPr>
          <w:rFonts w:ascii="Calibri" w:hAnsi="Calibri"/>
          <w:b/>
          <w:color w:val="1F4D78"/>
          <w:sz w:val="21"/>
        </w:rPr>
        <w:t>1. How to read this supplement</w:t>
      </w:r>
      <w:r>
        <w:rPr>
          <w:rFonts w:ascii="Calibri" w:hAnsi="Calibri"/>
          <w:color w:val="111827"/>
          <w:sz w:val="21"/>
        </w:rPr>
        <w:t xml:space="preserve"> — governance and relationship to the main roadmap</w:t>
      </w:r>
    </w:p>
    <w:p>
      <w:pPr>
        <w:spacing w:after="100"/>
      </w:pPr>
      <w:r>
        <w:rPr>
          <w:rFonts w:ascii="Calibri" w:hAnsi="Calibri"/>
          <w:b/>
          <w:color w:val="1F4D78"/>
          <w:sz w:val="21"/>
        </w:rPr>
        <w:t>2. Product intent and success definition</w:t>
      </w:r>
      <w:r>
        <w:rPr>
          <w:rFonts w:ascii="Calibri" w:hAnsi="Calibri"/>
          <w:color w:val="111827"/>
          <w:sz w:val="21"/>
        </w:rPr>
        <w:t xml:space="preserve"> — why Clerk exists and what evidence counts</w:t>
      </w:r>
    </w:p>
    <w:p>
      <w:pPr>
        <w:spacing w:after="100"/>
      </w:pPr>
      <w:r>
        <w:rPr>
          <w:rFonts w:ascii="Calibri" w:hAnsi="Calibri"/>
          <w:b/>
          <w:color w:val="1F4D78"/>
          <w:sz w:val="21"/>
        </w:rPr>
        <w:t>3. Control classes and feature hierarchy</w:t>
      </w:r>
      <w:r>
        <w:rPr>
          <w:rFonts w:ascii="Calibri" w:hAnsi="Calibri"/>
          <w:color w:val="111827"/>
          <w:sz w:val="21"/>
        </w:rPr>
        <w:t xml:space="preserve"> — deterministic, assisted, human and prohibited work</w:t>
      </w:r>
    </w:p>
    <w:p>
      <w:pPr>
        <w:spacing w:after="100"/>
      </w:pPr>
      <w:r>
        <w:rPr>
          <w:rFonts w:ascii="Calibri" w:hAnsi="Calibri"/>
          <w:b/>
          <w:color w:val="1F4D78"/>
          <w:sz w:val="21"/>
        </w:rPr>
        <w:t>4. Now / Next / Later</w:t>
      </w:r>
      <w:r>
        <w:rPr>
          <w:rFonts w:ascii="Calibri" w:hAnsi="Calibri"/>
          <w:color w:val="111827"/>
          <w:sz w:val="21"/>
        </w:rPr>
        <w:t xml:space="preserve"> — one-page Clerk workstream view</w:t>
      </w:r>
    </w:p>
    <w:p>
      <w:pPr>
        <w:spacing w:after="100"/>
      </w:pPr>
      <w:r>
        <w:rPr>
          <w:rFonts w:ascii="Calibri" w:hAnsi="Calibri"/>
          <w:b/>
          <w:color w:val="1F4D78"/>
          <w:sz w:val="21"/>
        </w:rPr>
        <w:t>5. Phase plan C0 to C5</w:t>
      </w:r>
      <w:r>
        <w:rPr>
          <w:rFonts w:ascii="Calibri" w:hAnsi="Calibri"/>
          <w:color w:val="111827"/>
          <w:sz w:val="21"/>
        </w:rPr>
        <w:t xml:space="preserve"> — scope, gates and non-goals</w:t>
      </w:r>
    </w:p>
    <w:p>
      <w:pPr>
        <w:spacing w:after="100"/>
      </w:pPr>
      <w:r>
        <w:rPr>
          <w:rFonts w:ascii="Calibri" w:hAnsi="Calibri"/>
          <w:b/>
          <w:color w:val="1F4D78"/>
          <w:sz w:val="21"/>
        </w:rPr>
        <w:t>6. Pilot scorecard and economics</w:t>
      </w:r>
      <w:r>
        <w:rPr>
          <w:rFonts w:ascii="Calibri" w:hAnsi="Calibri"/>
          <w:color w:val="111827"/>
          <w:sz w:val="21"/>
        </w:rPr>
        <w:t xml:space="preserve"> — safety, quality, operational and commercial proof</w:t>
      </w:r>
    </w:p>
    <w:p>
      <w:pPr>
        <w:spacing w:after="100"/>
      </w:pPr>
      <w:r>
        <w:rPr>
          <w:rFonts w:ascii="Calibri" w:hAnsi="Calibri"/>
          <w:b/>
          <w:color w:val="1F4D78"/>
          <w:sz w:val="21"/>
        </w:rPr>
        <w:t>7. Dependencies and staffing</w:t>
      </w:r>
      <w:r>
        <w:rPr>
          <w:rFonts w:ascii="Calibri" w:hAnsi="Calibri"/>
          <w:color w:val="111827"/>
          <w:sz w:val="21"/>
        </w:rPr>
        <w:t xml:space="preserve"> — what the workstream consumes</w:t>
      </w:r>
    </w:p>
    <w:p>
      <w:pPr>
        <w:spacing w:after="100"/>
      </w:pPr>
      <w:r>
        <w:rPr>
          <w:rFonts w:ascii="Calibri" w:hAnsi="Calibri"/>
          <w:b/>
          <w:color w:val="1F4D78"/>
          <w:sz w:val="21"/>
        </w:rPr>
        <w:t>8. Risks, rollback and kill rules</w:t>
      </w:r>
      <w:r>
        <w:rPr>
          <w:rFonts w:ascii="Calibri" w:hAnsi="Calibri"/>
          <w:color w:val="111827"/>
          <w:sz w:val="21"/>
        </w:rPr>
        <w:t xml:space="preserve"> — how the plan fails safely</w:t>
      </w:r>
    </w:p>
    <w:p>
      <w:pPr>
        <w:spacing w:after="100"/>
      </w:pPr>
      <w:r>
        <w:rPr>
          <w:rFonts w:ascii="Calibri" w:hAnsi="Calibri"/>
          <w:b/>
          <w:color w:val="1F4D78"/>
          <w:sz w:val="21"/>
        </w:rPr>
        <w:t>9. Governance and change control</w:t>
      </w:r>
      <w:r>
        <w:rPr>
          <w:rFonts w:ascii="Calibri" w:hAnsi="Calibri"/>
          <w:color w:val="111827"/>
          <w:sz w:val="21"/>
        </w:rPr>
        <w:t xml:space="preserve"> — how scope, languages and models are approved</w:t>
      </w:r>
    </w:p>
    <w:p>
      <w:pPr>
        <w:spacing w:after="100"/>
      </w:pPr>
      <w:r>
        <w:rPr>
          <w:rFonts w:ascii="Calibri" w:hAnsi="Calibri"/>
          <w:b/>
          <w:color w:val="1F4D78"/>
          <w:sz w:val="21"/>
        </w:rPr>
        <w:t>A–B. Appendices</w:t>
      </w:r>
      <w:r>
        <w:rPr>
          <w:rFonts w:ascii="Calibri" w:hAnsi="Calibri"/>
          <w:color w:val="111827"/>
          <w:sz w:val="21"/>
        </w:rPr>
        <w:t xml:space="preserve"> — main-roadmap traceability and operating definitions</w:t>
      </w:r>
    </w:p>
    <w:p>
      <w:r>
        <w:br w:type="page"/>
      </w:r>
    </w:p>
    <w:p>
      <w:pPr>
        <w:pStyle w:val="Heading1"/>
        <w:keepNext/>
      </w:pPr>
      <w:r>
        <w:t>1. How to read this supplement</w:t>
      </w:r>
    </w:p>
    <w:p>
      <w:pPr>
        <w:spacing w:after="120" w:line="300" w:lineRule="auto"/>
      </w:pPr>
      <w:r>
        <w:rPr>
          <w:rFonts w:ascii="Calibri" w:hAnsi="Calibri"/>
          <w:i w:val="0"/>
          <w:color w:val="111827"/>
        </w:rPr>
        <w:t>The main Product Roadmap v1.1 continues to decide the MeridianIQ release sequence. This supplement adds a cross-cutting Clerk workstream labelled C0–C5 so that Clerk phases cannot be confused with the existing R0–R5 releases. Each Clerk phase names the main release that hosts it and inherits that release's gates.</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FF4DD" w:val="clear"/>
            <w:tcBorders>
              <w:top w:val="single" w:sz="2" w:space="0" w:color="FFF4DD"/>
              <w:left w:val="single" w:sz="2" w:space="0" w:color="FFF4DD"/>
              <w:bottom w:val="single" w:sz="2" w:space="0" w:color="FFF4DD"/>
              <w:right w:val="single" w:sz="2" w:space="0" w:color="FFF4DD"/>
              <w:insideH w:val="single" w:sz="2" w:space="0" w:color="FFF4DD"/>
              <w:insideV w:val="single" w:sz="2" w:space="0" w:color="FFF4DD"/>
            </w:tcBorders>
            <w:tcMar>
              <w:top w:w="80" w:type="dxa"/>
              <w:bottom w:w="80" w:type="dxa"/>
              <w:start w:w="120" w:type="dxa"/>
              <w:end w:w="120" w:type="dxa"/>
            </w:tcMar>
          </w:tcPr>
          <w:p>
            <w:pPr>
              <w:spacing w:after="0"/>
            </w:pPr>
            <w:r>
              <w:rPr>
                <w:rFonts w:ascii="Calibri" w:hAnsi="Calibri"/>
                <w:b/>
                <w:color w:val="7A5A00"/>
                <w:sz w:val="21"/>
              </w:rPr>
              <w:t xml:space="preserve">GOVERNING RULE: </w:t>
            </w:r>
            <w:r>
              <w:rPr>
                <w:rFonts w:ascii="Calibri" w:hAnsi="Calibri"/>
                <w:color w:val="111827"/>
                <w:sz w:val="21"/>
              </w:rPr>
              <w:t>Clerk may be delayed, narrowed or disabled without blocking the main roadmap. It may never be used to justify moving Buyer Rails, the Credit Layer, Bank Workbench or financing functionality ahead of their evidence gates.</w:t>
            </w:r>
          </w:p>
        </w:tc>
      </w:tr>
    </w:tbl>
    <w:p>
      <w:pPr>
        <w:spacing w:after="0"/>
      </w:pPr>
    </w:p>
    <w:p>
      <w:pPr>
        <w:pStyle w:val="Heading2"/>
        <w:keepNext/>
      </w:pPr>
      <w:r>
        <w:t>1.1 Roadmap position</w:t>
      </w:r>
    </w:p>
    <w:p>
      <w:pPr>
        <w:pStyle w:val="ListBullet"/>
      </w:pPr>
      <w:r>
        <w:rPr>
          <w:rFonts w:ascii="Calibri" w:hAnsi="Calibri"/>
          <w:color w:val="111827"/>
          <w:sz w:val="22"/>
        </w:rPr>
        <w:t>C0 structures the evidence and controls already needed by R0 and R1; it is not a hidden platform build.</w:t>
      </w:r>
    </w:p>
    <w:p>
      <w:pPr>
        <w:pStyle w:val="ListBullet"/>
      </w:pPr>
      <w:r>
        <w:rPr>
          <w:rFonts w:ascii="Calibri" w:hAnsi="Calibri"/>
          <w:color w:val="111827"/>
          <w:sz w:val="22"/>
        </w:rPr>
        <w:t>C1 runs in shadow mode and assists operators only after the core R1 workflows exist.</w:t>
      </w:r>
    </w:p>
    <w:p>
      <w:pPr>
        <w:pStyle w:val="ListBullet"/>
      </w:pPr>
      <w:r>
        <w:rPr>
          <w:rFonts w:ascii="Calibri" w:hAnsi="Calibri"/>
          <w:color w:val="111827"/>
          <w:sz w:val="22"/>
        </w:rPr>
        <w:t>C2 is a limited client-facing Compliance Desk pilot; it remains reversible and human-approved.</w:t>
      </w:r>
    </w:p>
    <w:p>
      <w:pPr>
        <w:pStyle w:val="ListBullet"/>
      </w:pPr>
      <w:r>
        <w:rPr>
          <w:rFonts w:ascii="Calibri" w:hAnsi="Calibri"/>
          <w:color w:val="111827"/>
          <w:sz w:val="22"/>
        </w:rPr>
        <w:t>C3 absorbs the existing R2 AI failure-explainer candidate and adds controlled buyer-confirmation operations only after BR-02 is live.</w:t>
      </w:r>
    </w:p>
    <w:p>
      <w:pPr>
        <w:pStyle w:val="ListBullet"/>
      </w:pPr>
      <w:r>
        <w:rPr>
          <w:rFonts w:ascii="Calibri" w:hAnsi="Calibri"/>
          <w:color w:val="111827"/>
          <w:sz w:val="22"/>
        </w:rPr>
        <w:t>C4 produces high-quality evidence for future ProofGraph analysis but makes no credit decision or finance-readiness claim.</w:t>
      </w:r>
    </w:p>
    <w:p>
      <w:pPr>
        <w:pStyle w:val="ListBullet"/>
      </w:pPr>
      <w:r>
        <w:rPr>
          <w:rFonts w:ascii="Calibri" w:hAnsi="Calibri"/>
          <w:color w:val="111827"/>
          <w:sz w:val="22"/>
        </w:rPr>
        <w:t>C5 hardens proven capabilities; any finance-related role remains subordinate to R4/R5 and bank/counsel approval.</w:t>
      </w:r>
    </w:p>
    <w:p>
      <w:pPr>
        <w:pStyle w:val="Heading1"/>
        <w:keepNext/>
      </w:pPr>
      <w:r>
        <w:t>2. Product intent and success definition</w:t>
      </w:r>
    </w:p>
    <w:p>
      <w:pPr>
        <w:spacing w:after="120" w:line="300" w:lineRule="auto"/>
      </w:pPr>
      <w:r>
        <w:rPr>
          <w:rFonts w:ascii="Calibri" w:hAnsi="Calibri"/>
          <w:i w:val="0"/>
          <w:color w:val="111827"/>
        </w:rPr>
        <w:t>Clerk exists to let a named human operator safely serve more Compliance Desk clients without lowering factual accuracy, privacy, submission authority, response service levels or staff wellbeing. It meets users through practical channels, converts messy inputs into reviewable drafts, translates supported failures into approved fixes and refuses unsupported questions.</w:t>
      </w:r>
    </w:p>
    <w:p>
      <w:pPr>
        <w:pStyle w:val="Heading2"/>
        <w:keepNext/>
      </w:pPr>
      <w:r>
        <w:t>2.1 What success is</w:t>
      </w:r>
    </w:p>
    <w:p>
      <w:pPr>
        <w:pStyle w:val="ListBullet"/>
      </w:pPr>
      <w:r>
        <w:rPr>
          <w:rFonts w:ascii="Calibri" w:hAnsi="Calibri"/>
          <w:color w:val="111827"/>
          <w:sz w:val="22"/>
        </w:rPr>
        <w:t>Zero unsupported binding compliance claims and zero unapproved submissions.</w:t>
      </w:r>
    </w:p>
    <w:p>
      <w:pPr>
        <w:pStyle w:val="ListBullet"/>
      </w:pPr>
      <w:r>
        <w:rPr>
          <w:rFonts w:ascii="Calibri" w:hAnsi="Calibri"/>
          <w:color w:val="111827"/>
          <w:sz w:val="22"/>
        </w:rPr>
        <w:t>Lower active operator minutes per completed case, not merely faster model responses.</w:t>
      </w:r>
    </w:p>
    <w:p>
      <w:pPr>
        <w:pStyle w:val="ListBullet"/>
      </w:pPr>
      <w:r>
        <w:rPr>
          <w:rFonts w:ascii="Calibri" w:hAnsi="Calibri"/>
          <w:color w:val="111827"/>
          <w:sz w:val="22"/>
        </w:rPr>
        <w:t>More cases reaching review without manual re-keying while critical fields remain visibly confirmed.</w:t>
      </w:r>
    </w:p>
    <w:p>
      <w:pPr>
        <w:pStyle w:val="ListBullet"/>
      </w:pPr>
      <w:r>
        <w:rPr>
          <w:rFonts w:ascii="Calibri" w:hAnsi="Calibri"/>
          <w:color w:val="111827"/>
          <w:sz w:val="22"/>
        </w:rPr>
        <w:t>Progressive operator capacity from the existing 40-client baseline to 60, then 90, and only then a tested 120-client stretch case.</w:t>
      </w:r>
    </w:p>
    <w:p>
      <w:pPr>
        <w:pStyle w:val="ListBullet"/>
      </w:pPr>
      <w:r>
        <w:rPr>
          <w:rFonts w:ascii="Calibri" w:hAnsi="Calibri"/>
          <w:color w:val="111827"/>
          <w:sz w:val="22"/>
        </w:rPr>
        <w:t>Paid accountant-firm evidence: Clerk appears in proposals, renewals or managed-service expansion—not only demos.</w:t>
      </w:r>
    </w:p>
    <w:p>
      <w:pPr>
        <w:pStyle w:val="ListBullet"/>
      </w:pPr>
      <w:r>
        <w:rPr>
          <w:rFonts w:ascii="Calibri" w:hAnsi="Calibri"/>
          <w:color w:val="111827"/>
          <w:sz w:val="22"/>
        </w:rPr>
        <w:t>Buyer-confirmation uplift without data-bearing messages, coercive cadence, excessive opt-outs or damaged relationships.</w:t>
      </w:r>
    </w:p>
    <w:p>
      <w:pPr>
        <w:pStyle w:val="Heading2"/>
        <w:keepNext/>
      </w:pPr>
      <w:r>
        <w:t>2.2 What success is not</w:t>
      </w:r>
    </w:p>
    <w:p>
      <w:pPr>
        <w:pStyle w:val="ListBullet"/>
      </w:pPr>
      <w:r>
        <w:rPr>
          <w:rFonts w:ascii="Calibri" w:hAnsi="Calibri"/>
          <w:color w:val="111827"/>
          <w:sz w:val="22"/>
        </w:rPr>
        <w:t>A fluent chatbot, an impressive refusal demo or a high extraction score measured without operational outcomes.</w:t>
      </w:r>
    </w:p>
    <w:p>
      <w:pPr>
        <w:pStyle w:val="ListBullet"/>
      </w:pPr>
      <w:r>
        <w:rPr>
          <w:rFonts w:ascii="Calibri" w:hAnsi="Calibri"/>
          <w:color w:val="111827"/>
          <w:sz w:val="22"/>
        </w:rPr>
        <w:t>A financial-model assumption that 120–150 clients per operator already exists.</w:t>
      </w:r>
    </w:p>
    <w:p>
      <w:pPr>
        <w:pStyle w:val="ListBullet"/>
      </w:pPr>
      <w:r>
        <w:rPr>
          <w:rFonts w:ascii="Calibri" w:hAnsi="Calibri"/>
          <w:color w:val="111827"/>
          <w:sz w:val="22"/>
        </w:rPr>
        <w:t>A workaround for the main roadmap's R2 candidate status or the Layer Two and Layer Three gates.</w:t>
      </w:r>
    </w:p>
    <w:p>
      <w:pPr>
        <w:pStyle w:val="ListBullet"/>
      </w:pPr>
      <w:r>
        <w:rPr>
          <w:rFonts w:ascii="Calibri" w:hAnsi="Calibri"/>
          <w:color w:val="111827"/>
          <w:sz w:val="22"/>
        </w:rPr>
        <w:t>A claim that a stamped invoice is commercially genuine, paid, creditworthy or financeable.</w:t>
      </w:r>
    </w:p>
    <w:p>
      <w:pPr>
        <w:pStyle w:val="Heading1"/>
        <w:keepNext/>
      </w:pPr>
      <w:r>
        <w:t>3. Control classes and feature hierarchy</w:t>
      </w:r>
    </w:p>
    <w:tbl>
      <w:tblPr>
        <w:tblW w:type="dxa" w:w="9360"/>
        <w:jc w:val="left"/>
        <w:tblLayout w:type="fixed"/>
        <w:tblLook w:firstColumn="1" w:firstRow="1" w:lastColumn="0" w:lastRow="0" w:noHBand="0" w:noVBand="1" w:val="04A0"/>
        <w:tblInd w:type="dxa" w:w="120"/>
      </w:tblPr>
      <w:tblGrid>
        <w:gridCol w:w="2088"/>
        <w:gridCol w:w="4968"/>
        <w:gridCol w:w="2304"/>
      </w:tblGrid>
      <w:tr>
        <w:trPr>
          <w:tblHeader w:val="true"/>
        </w:trPr>
        <w:tc>
          <w:tcPr>
            <w:tcW w:type="dxa" w:w="2088"/>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Class</w:t>
            </w:r>
          </w:p>
        </w:tc>
        <w:tc>
          <w:tcPr>
            <w:tcW w:type="dxa" w:w="4968"/>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Roadmap examples</w:t>
            </w:r>
          </w:p>
        </w:tc>
        <w:tc>
          <w:tcPr>
            <w:tcW w:type="dxa" w:w="2304"/>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Release rule</w:t>
            </w:r>
          </w:p>
        </w:tc>
      </w:tr>
      <w:tr>
        <w:trPr>
          <w:cantSplit/>
        </w:trPr>
        <w:tc>
          <w:tcPr>
            <w:tcW w:type="dxa" w:w="208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7"/>
              </w:rPr>
              <w:t>Deterministic foundation</w:t>
            </w:r>
          </w:p>
        </w:tc>
        <w:tc>
          <w:tcPr>
            <w:tcW w:type="dxa" w:w="49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7"/>
              </w:rPr>
              <w:t>Claim objects, protected facts, validation, permissions, lifecycle, message lint</w:t>
            </w:r>
          </w:p>
        </w:tc>
        <w:tc>
          <w:tcPr>
            <w:tcW w:type="dxa" w:w="230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7"/>
              </w:rPr>
              <w:t>Build first; must pass exact and fail-closed tests</w:t>
            </w:r>
          </w:p>
        </w:tc>
      </w:tr>
      <w:tr>
        <w:trPr>
          <w:cantSplit/>
        </w:trPr>
        <w:tc>
          <w:tcPr>
            <w:tcW w:type="dxa" w:w="208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7"/>
              </w:rPr>
              <w:t>AI-assisted operator work</w:t>
            </w:r>
          </w:p>
        </w:tc>
        <w:tc>
          <w:tcPr>
            <w:tcW w:type="dxa" w:w="49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7"/>
              </w:rPr>
              <w:t>OCR, ASR, intent, field suggestions, explanation and prioritisation</w:t>
            </w:r>
          </w:p>
        </w:tc>
        <w:tc>
          <w:tcPr>
            <w:tcW w:type="dxa" w:w="230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7"/>
              </w:rPr>
              <w:t>Shadow mode, confidence and human review before client visibility</w:t>
            </w:r>
          </w:p>
        </w:tc>
      </w:tr>
      <w:tr>
        <w:trPr>
          <w:cantSplit/>
        </w:trPr>
        <w:tc>
          <w:tcPr>
            <w:tcW w:type="dxa" w:w="208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7"/>
              </w:rPr>
              <w:t>Human-authorised action</w:t>
            </w:r>
          </w:p>
        </w:tc>
        <w:tc>
          <w:tcPr>
            <w:tcW w:type="dxa" w:w="49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7"/>
              </w:rPr>
              <w:t>Correction, clarification, submission approval, high-risk response</w:t>
            </w:r>
          </w:p>
        </w:tc>
        <w:tc>
          <w:tcPr>
            <w:tcW w:type="dxa" w:w="230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7"/>
              </w:rPr>
              <w:t>Named actor and audit evidence; never removed by Clerk</w:t>
            </w:r>
          </w:p>
        </w:tc>
      </w:tr>
      <w:tr>
        <w:trPr>
          <w:cantSplit/>
        </w:trPr>
        <w:tc>
          <w:tcPr>
            <w:tcW w:type="dxa" w:w="208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7"/>
              </w:rPr>
              <w:t>Prohibited near term</w:t>
            </w:r>
          </w:p>
        </w:tc>
        <w:tc>
          <w:tcPr>
            <w:tcW w:type="dxa" w:w="49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7"/>
              </w:rPr>
              <w:t>Autonomous submission, open-web tax chat, credit advice, unsupported languages, unapproved offshore inference</w:t>
            </w:r>
          </w:p>
        </w:tc>
        <w:tc>
          <w:tcPr>
            <w:tcW w:type="dxa" w:w="230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7"/>
              </w:rPr>
              <w:t>No backlog date; blocked by architecture and policy</w:t>
            </w:r>
          </w:p>
        </w:tc>
      </w:tr>
    </w:tbl>
    <w:p>
      <w:pPr>
        <w:spacing w:after="0"/>
      </w:pPr>
    </w:p>
    <w:p>
      <w:pPr>
        <w:pStyle w:val="Heading1"/>
        <w:keepNext/>
      </w:pPr>
      <w:r>
        <w:t>4. Now / Next / Later</w:t>
      </w:r>
    </w:p>
    <w:tbl>
      <w:tblPr>
        <w:tblW w:type="dxa" w:w="9360"/>
        <w:jc w:val="left"/>
        <w:tblLayout w:type="fixed"/>
        <w:tblLook w:firstColumn="1" w:firstRow="1" w:lastColumn="0" w:lastRow="0" w:noHBand="0" w:noVBand="1" w:val="04A0"/>
        <w:tblInd w:type="dxa" w:w="120"/>
      </w:tblPr>
      <w:tblGrid>
        <w:gridCol w:w="936"/>
        <w:gridCol w:w="1512"/>
        <w:gridCol w:w="1728"/>
        <w:gridCol w:w="3240"/>
        <w:gridCol w:w="1944"/>
      </w:tblGrid>
      <w:tr>
        <w:trPr>
          <w:tblHeader w:val="true"/>
        </w:trPr>
        <w:tc>
          <w:tcPr>
            <w:tcW w:type="dxa" w:w="936"/>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Horizon</w:t>
            </w:r>
          </w:p>
        </w:tc>
        <w:tc>
          <w:tcPr>
            <w:tcW w:type="dxa" w:w="1512"/>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Clerk phase</w:t>
            </w:r>
          </w:p>
        </w:tc>
        <w:tc>
          <w:tcPr>
            <w:tcW w:type="dxa" w:w="1728"/>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Main alignment</w:t>
            </w:r>
          </w:p>
        </w:tc>
        <w:tc>
          <w:tcPr>
            <w:tcW w:type="dxa" w:w="3240"/>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Headline</w:t>
            </w:r>
          </w:p>
        </w:tc>
        <w:tc>
          <w:tcPr>
            <w:tcW w:type="dxa" w:w="1944"/>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Unlocking evidence</w:t>
            </w:r>
          </w:p>
        </w:tc>
      </w:tr>
      <w:tr>
        <w:trPr>
          <w:cantSplit/>
        </w:trPr>
        <w:tc>
          <w:tcPr>
            <w:tcW w:type="dxa" w:w="93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5"/>
              </w:rPr>
              <w:t>NOW</w:t>
            </w:r>
          </w:p>
        </w:tc>
        <w:tc>
          <w:tcPr>
            <w:tcW w:type="dxa" w:w="151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C0 Foundation</w:t>
            </w:r>
          </w:p>
        </w:tc>
        <w:tc>
          <w:tcPr>
            <w:tcW w:type="dxa" w:w="172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R0 Jul–Oct 2026</w:t>
            </w:r>
          </w:p>
        </w:tc>
        <w:tc>
          <w:tcPr>
            <w:tcW w:type="dxa" w:w="324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Claims/error governance, instrumentation, evaluation and OPEN-6</w:t>
            </w:r>
          </w:p>
        </w:tc>
        <w:tc>
          <w:tcPr>
            <w:tcW w:type="dxa" w:w="194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No client AI; corpus owners, baseline, DPIA/residency path</w:t>
            </w:r>
          </w:p>
        </w:tc>
      </w:tr>
      <w:tr>
        <w:trPr>
          <w:cantSplit/>
        </w:trPr>
        <w:tc>
          <w:tcPr>
            <w:tcW w:type="dxa" w:w="93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5"/>
              </w:rPr>
              <w:t>NOW</w:t>
            </w:r>
          </w:p>
        </w:tc>
        <w:tc>
          <w:tcPr>
            <w:tcW w:type="dxa" w:w="151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C1 Shadow Copilot</w:t>
            </w:r>
          </w:p>
        </w:tc>
        <w:tc>
          <w:tcPr>
            <w:tcW w:type="dxa" w:w="172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R1 Q4 2026–Q1 2027</w:t>
            </w:r>
          </w:p>
        </w:tc>
        <w:tc>
          <w:tcPr>
            <w:tcW w:type="dxa" w:w="324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Operator-only extraction and grounded assistance</w:t>
            </w:r>
          </w:p>
        </w:tc>
        <w:tc>
          <w:tcPr>
            <w:tcW w:type="dxa" w:w="194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Zero unsupported facts; material handling-time benefit</w:t>
            </w:r>
          </w:p>
        </w:tc>
      </w:tr>
      <w:tr>
        <w:trPr>
          <w:cantSplit/>
        </w:trPr>
        <w:tc>
          <w:tcPr>
            <w:tcW w:type="dxa" w:w="93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5"/>
              </w:rPr>
              <w:t>NEXT</w:t>
            </w:r>
          </w:p>
        </w:tc>
        <w:tc>
          <w:tcPr>
            <w:tcW w:type="dxa" w:w="151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C2 Desk Pilot</w:t>
            </w:r>
          </w:p>
        </w:tc>
        <w:tc>
          <w:tcPr>
            <w:tcW w:type="dxa" w:w="172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Late R1 / early R2</w:t>
            </w:r>
          </w:p>
        </w:tc>
        <w:tc>
          <w:tcPr>
            <w:tcW w:type="dxa" w:w="324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Consented inbound WhatsApp for a limited managed cohort</w:t>
            </w:r>
          </w:p>
        </w:tc>
        <w:tc>
          <w:tcPr>
            <w:tcW w:type="dxa" w:w="194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Six-week safety, quality, cost and service proof</w:t>
            </w:r>
          </w:p>
        </w:tc>
      </w:tr>
      <w:tr>
        <w:trPr>
          <w:cantSplit/>
        </w:trPr>
        <w:tc>
          <w:tcPr>
            <w:tcW w:type="dxa" w:w="93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5"/>
              </w:rPr>
              <w:t>NEXT</w:t>
            </w:r>
          </w:p>
        </w:tc>
        <w:tc>
          <w:tcPr>
            <w:tcW w:type="dxa" w:w="151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C3 Channel + Buyer Operator</w:t>
            </w:r>
          </w:p>
        </w:tc>
        <w:tc>
          <w:tcPr>
            <w:tcW w:type="dxa" w:w="172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R2 Q2–Q3 2027</w:t>
            </w:r>
          </w:p>
        </w:tc>
        <w:tc>
          <w:tcPr>
            <w:tcW w:type="dxa" w:w="324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White-label partner use and controlled BR-02 reminders</w:t>
            </w:r>
          </w:p>
        </w:tc>
        <w:tc>
          <w:tcPr>
            <w:tcW w:type="dxa" w:w="194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Main R2 gates, paid-firm evidence and confirmation uplift</w:t>
            </w:r>
          </w:p>
        </w:tc>
      </w:tr>
      <w:tr>
        <w:trPr>
          <w:cantSplit/>
        </w:trPr>
        <w:tc>
          <w:tcPr>
            <w:tcW w:type="dxa" w:w="93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5"/>
              </w:rPr>
              <w:t>LATER</w:t>
            </w:r>
          </w:p>
        </w:tc>
        <w:tc>
          <w:tcPr>
            <w:tcW w:type="dxa" w:w="151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C4 ProofGraph Substrate</w:t>
            </w:r>
          </w:p>
        </w:tc>
        <w:tc>
          <w:tcPr>
            <w:tcW w:type="dxa" w:w="172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R3 H2 2027</w:t>
            </w:r>
          </w:p>
        </w:tc>
        <w:tc>
          <w:tcPr>
            <w:tcW w:type="dxa" w:w="324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Outcome labels and evidence views; no credit decision</w:t>
            </w:r>
          </w:p>
        </w:tc>
        <w:tc>
          <w:tcPr>
            <w:tcW w:type="dxa" w:w="194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5,000 audited cases and stable cohort performance</w:t>
            </w:r>
          </w:p>
        </w:tc>
      </w:tr>
      <w:tr>
        <w:trPr>
          <w:cantSplit/>
        </w:trPr>
        <w:tc>
          <w:tcPr>
            <w:tcW w:type="dxa" w:w="93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5"/>
              </w:rPr>
              <w:t>LATER</w:t>
            </w:r>
          </w:p>
        </w:tc>
        <w:tc>
          <w:tcPr>
            <w:tcW w:type="dxa" w:w="151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C5 Hardening</w:t>
            </w:r>
          </w:p>
        </w:tc>
        <w:tc>
          <w:tcPr>
            <w:tcW w:type="dxa" w:w="172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R4–R5 2028+</w:t>
            </w:r>
          </w:p>
        </w:tc>
        <w:tc>
          <w:tcPr>
            <w:tcW w:type="dxa" w:w="324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Selective languages, partner API and infrastructure optimisation</w:t>
            </w:r>
          </w:p>
        </w:tc>
        <w:tc>
          <w:tcPr>
            <w:tcW w:type="dxa" w:w="194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5"/>
              </w:rPr>
              <w:t>Main R4/R5 gates and four in-spec financing quarters</w:t>
            </w:r>
          </w:p>
        </w:tc>
      </w:tr>
    </w:tbl>
    <w:p>
      <w:pPr>
        <w:spacing w:after="0"/>
      </w:pPr>
    </w:p>
    <w:p>
      <w:pPr>
        <w:pStyle w:val="Heading1"/>
        <w:keepNext/>
      </w:pPr>
      <w:r>
        <w:t>5. Phase plan C0 to C5</w:t>
      </w:r>
    </w:p>
    <w:p>
      <w:pPr>
        <w:pStyle w:val="Heading2"/>
        <w:keepNext/>
      </w:pPr>
      <w:r>
        <w:t>C0 — Evidence and Control Foundation</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8EEF5" w:val="clear"/>
            <w:tcBorders>
              <w:top w:val="single" w:sz="2" w:space="0" w:color="E8EEF5"/>
              <w:left w:val="single" w:sz="2" w:space="0" w:color="E8EEF5"/>
              <w:bottom w:val="single" w:sz="2" w:space="0" w:color="E8EEF5"/>
              <w:right w:val="single" w:sz="2" w:space="0" w:color="E8EEF5"/>
              <w:insideH w:val="single" w:sz="2" w:space="0" w:color="E8EEF5"/>
              <w:insideV w:val="single" w:sz="2" w:space="0" w:color="E8EEF5"/>
            </w:tcBorders>
            <w:tcMar>
              <w:top w:w="80" w:type="dxa"/>
              <w:bottom w:w="80" w:type="dxa"/>
              <w:start w:w="120" w:type="dxa"/>
              <w:end w:w="120" w:type="dxa"/>
            </w:tcMar>
          </w:tcPr>
          <w:p>
            <w:pPr>
              <w:spacing w:after="0"/>
            </w:pPr>
            <w:r>
              <w:rPr>
                <w:rFonts w:ascii="Calibri" w:hAnsi="Calibri"/>
                <w:b/>
                <w:color w:val="1F4D78"/>
                <w:sz w:val="21"/>
              </w:rPr>
              <w:t xml:space="preserve">ALIGNMENT: </w:t>
            </w:r>
            <w:r>
              <w:rPr>
                <w:rFonts w:ascii="Calibri" w:hAnsi="Calibri"/>
                <w:color w:val="111827"/>
                <w:sz w:val="21"/>
              </w:rPr>
              <w:t>Hosted by R0; July–October 2026. No production client inference.</w:t>
            </w:r>
          </w:p>
        </w:tc>
      </w:tr>
    </w:tbl>
    <w:p>
      <w:pPr>
        <w:spacing w:after="0"/>
      </w:pPr>
    </w:p>
    <w:p>
      <w:pPr>
        <w:spacing w:after="120" w:line="300" w:lineRule="auto"/>
      </w:pPr>
      <w:r>
        <w:rPr>
          <w:rFonts w:ascii="Calibri" w:hAnsi="Calibri"/>
          <w:i w:val="0"/>
          <w:color w:val="111827"/>
        </w:rPr>
        <w:t>Use the work MeridianIQ already needs—error catalogue, claims governance and operator instrumentation—to make an eventual Clerk testable without displacing the 26-engineer-week R0 budget.</w:t>
      </w:r>
    </w:p>
    <w:p>
      <w:pPr>
        <w:pStyle w:val="Heading3"/>
        <w:keepNext/>
      </w:pPr>
      <w:r>
        <w:t>Ships</w:t>
      </w:r>
    </w:p>
    <w:p>
      <w:pPr>
        <w:pStyle w:val="ListBullet"/>
      </w:pPr>
      <w:r>
        <w:rPr>
          <w:rFonts w:ascii="Calibri" w:hAnsi="Calibri"/>
          <w:color w:val="111827"/>
          <w:sz w:val="22"/>
        </w:rPr>
        <w:t>Desk case taxonomy and time-and-motion instrumentation; baseline operator minutes, queue type, rework and escalations.</w:t>
      </w:r>
    </w:p>
    <w:p>
      <w:pPr>
        <w:pStyle w:val="ListBullet"/>
      </w:pPr>
      <w:r>
        <w:rPr>
          <w:rFonts w:ascii="Calibri" w:hAnsi="Calibri"/>
          <w:color w:val="111827"/>
          <w:sz w:val="22"/>
        </w:rPr>
        <w:t>Structured ClaimRecord schema, maker-checker workflow, source/version tracking and emergency suspension.</w:t>
      </w:r>
    </w:p>
    <w:p>
      <w:pPr>
        <w:pStyle w:val="ListBullet"/>
      </w:pPr>
      <w:r>
        <w:rPr>
          <w:rFonts w:ascii="Calibri" w:hAnsi="Calibri"/>
          <w:color w:val="111827"/>
          <w:sz w:val="22"/>
        </w:rPr>
        <w:t>Error catalogue cleanup around encountered failures and the top supported intents.</w:t>
      </w:r>
    </w:p>
    <w:p>
      <w:pPr>
        <w:pStyle w:val="ListBullet"/>
      </w:pPr>
      <w:r>
        <w:rPr>
          <w:rFonts w:ascii="Calibri" w:hAnsi="Calibri"/>
          <w:color w:val="111827"/>
          <w:sz w:val="22"/>
        </w:rPr>
        <w:t>Synthetic/adversarial evaluation corpus plus authorised, minimised real examples where available.</w:t>
      </w:r>
    </w:p>
    <w:p>
      <w:pPr>
        <w:pStyle w:val="ListBullet"/>
      </w:pPr>
      <w:r>
        <w:rPr>
          <w:rFonts w:ascii="Calibri" w:hAnsi="Calibri"/>
          <w:color w:val="111827"/>
          <w:sz w:val="22"/>
        </w:rPr>
        <w:t>Inference-gateway prototype using synthetic data; audit-event specification and manual kill switch.</w:t>
      </w:r>
    </w:p>
    <w:p>
      <w:pPr>
        <w:pStyle w:val="ListBullet"/>
      </w:pPr>
      <w:r>
        <w:rPr>
          <w:rFonts w:ascii="Calibri" w:hAnsi="Calibri"/>
          <w:color w:val="111827"/>
          <w:sz w:val="22"/>
        </w:rPr>
        <w:t>Clerk DPIA/data-flow analysis; OPEN-6 residency, WhatsApp, vendor, retention and training decision.</w:t>
      </w:r>
    </w:p>
    <w:p>
      <w:pPr>
        <w:pStyle w:val="Heading3"/>
        <w:keepNext/>
      </w:pPr>
      <w:r>
        <w:t>Exit gate</w:t>
      </w:r>
    </w:p>
    <w:p>
      <w:pPr>
        <w:pStyle w:val="ListBullet"/>
      </w:pPr>
      <w:r>
        <w:rPr>
          <w:rFonts w:ascii="Calibri" w:hAnsi="Calibri"/>
          <w:color w:val="111827"/>
          <w:sz w:val="22"/>
        </w:rPr>
        <w:t>Error catalogue covers at least 80% of failures actually encountered, consistent with the main R0 metric.</w:t>
      </w:r>
    </w:p>
    <w:p>
      <w:pPr>
        <w:pStyle w:val="ListBullet"/>
      </w:pPr>
      <w:r>
        <w:rPr>
          <w:rFonts w:ascii="Calibri" w:hAnsi="Calibri"/>
          <w:color w:val="111827"/>
          <w:sz w:val="22"/>
        </w:rPr>
        <w:t>Every in-scope binding fact has an active, approved claim object with review ownership.</w:t>
      </w:r>
    </w:p>
    <w:p>
      <w:pPr>
        <w:pStyle w:val="ListBullet"/>
      </w:pPr>
      <w:r>
        <w:rPr>
          <w:rFonts w:ascii="Calibri" w:hAnsi="Calibri"/>
          <w:color w:val="111827"/>
          <w:sz w:val="22"/>
        </w:rPr>
        <w:t>Operator baseline is measured; a supported-load problem exists rather than being assumed.</w:t>
      </w:r>
    </w:p>
    <w:p>
      <w:pPr>
        <w:pStyle w:val="ListBullet"/>
      </w:pPr>
      <w:r>
        <w:rPr>
          <w:rFonts w:ascii="Calibri" w:hAnsi="Calibri"/>
          <w:color w:val="111827"/>
          <w:sz w:val="22"/>
        </w:rPr>
        <w:t>DPO, Counsel and Security approve the shadow architecture; manual fallback and kill switch pass.</w:t>
      </w:r>
    </w:p>
    <w:p>
      <w:pPr>
        <w:pStyle w:val="Heading3"/>
        <w:keepNext/>
      </w:pPr>
      <w:r>
        <w:t>Capacity guardrail</w:t>
      </w:r>
    </w:p>
    <w:p>
      <w:pPr>
        <w:spacing w:after="120" w:line="300" w:lineRule="auto"/>
      </w:pPr>
      <w:r>
        <w:rPr>
          <w:rFonts w:ascii="Calibri" w:hAnsi="Calibri"/>
          <w:i w:val="0"/>
          <w:color w:val="111827"/>
        </w:rPr>
        <w:t>Limit C0 engineering to approximately two or three engineer-weeks of instrumentation, schema extension and synthetic prototyping. If it displaces the canonical spine, APP contract, consent, error catalogue or R0 revenue tools, C0 Clerk work pauses.</w:t>
      </w:r>
    </w:p>
    <w:p>
      <w:pPr>
        <w:pStyle w:val="Heading2"/>
        <w:keepNext/>
      </w:pPr>
      <w:r>
        <w:t>C1 — Shadow Mode and Operator Copilot</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8EEF5" w:val="clear"/>
            <w:tcBorders>
              <w:top w:val="single" w:sz="2" w:space="0" w:color="E8EEF5"/>
              <w:left w:val="single" w:sz="2" w:space="0" w:color="E8EEF5"/>
              <w:bottom w:val="single" w:sz="2" w:space="0" w:color="E8EEF5"/>
              <w:right w:val="single" w:sz="2" w:space="0" w:color="E8EEF5"/>
              <w:insideH w:val="single" w:sz="2" w:space="0" w:color="E8EEF5"/>
              <w:insideV w:val="single" w:sz="2" w:space="0" w:color="E8EEF5"/>
            </w:tcBorders>
            <w:tcMar>
              <w:top w:w="80" w:type="dxa"/>
              <w:bottom w:w="80" w:type="dxa"/>
              <w:start w:w="120" w:type="dxa"/>
              <w:end w:w="120" w:type="dxa"/>
            </w:tcMar>
          </w:tcPr>
          <w:p>
            <w:pPr>
              <w:spacing w:after="0"/>
            </w:pPr>
            <w:r>
              <w:rPr>
                <w:rFonts w:ascii="Calibri" w:hAnsi="Calibri"/>
                <w:b/>
                <w:color w:val="1F4D78"/>
                <w:sz w:val="21"/>
              </w:rPr>
              <w:t xml:space="preserve">ALIGNMENT: </w:t>
            </w:r>
            <w:r>
              <w:rPr>
                <w:rFonts w:ascii="Calibri" w:hAnsi="Calibri"/>
                <w:color w:val="111827"/>
                <w:sz w:val="21"/>
              </w:rPr>
              <w:t>Hosted by R1; Q4 2026–Q1 2027. Operator-only.</w:t>
            </w:r>
          </w:p>
        </w:tc>
      </w:tr>
    </w:tbl>
    <w:p>
      <w:pPr>
        <w:spacing w:after="0"/>
      </w:pPr>
    </w:p>
    <w:p>
      <w:pPr>
        <w:spacing w:after="120" w:line="300" w:lineRule="auto"/>
      </w:pPr>
      <w:r>
        <w:rPr>
          <w:rFonts w:ascii="Calibri" w:hAnsi="Calibri"/>
          <w:i w:val="0"/>
          <w:color w:val="111827"/>
        </w:rPr>
        <w:t>Compare Clerk's recommendations with real operator decisions while the existing R1 queue and submission product remain authoritative.</w:t>
      </w:r>
    </w:p>
    <w:p>
      <w:pPr>
        <w:pStyle w:val="Heading3"/>
        <w:keepNext/>
      </w:pPr>
      <w:r>
        <w:t>Ships</w:t>
      </w:r>
    </w:p>
    <w:p>
      <w:pPr>
        <w:pStyle w:val="ListBullet"/>
      </w:pPr>
      <w:r>
        <w:rPr>
          <w:rFonts w:ascii="Calibri" w:hAnsi="Calibri"/>
          <w:color w:val="111827"/>
          <w:sz w:val="22"/>
        </w:rPr>
        <w:t>Photo/PDF/text extraction and English voice transcription into canonical field candidates.</w:t>
      </w:r>
    </w:p>
    <w:p>
      <w:pPr>
        <w:pStyle w:val="ListBullet"/>
      </w:pPr>
      <w:r>
        <w:rPr>
          <w:rFonts w:ascii="Calibri" w:hAnsi="Calibri"/>
          <w:color w:val="111827"/>
          <w:sz w:val="22"/>
        </w:rPr>
        <w:t>Field confidence, source snippets, missing-information question drafts and deterministic validation.</w:t>
      </w:r>
    </w:p>
    <w:p>
      <w:pPr>
        <w:pStyle w:val="ListBullet"/>
      </w:pPr>
      <w:r>
        <w:rPr>
          <w:rFonts w:ascii="Calibri" w:hAnsi="Calibri"/>
          <w:color w:val="111827"/>
          <w:sz w:val="22"/>
        </w:rPr>
        <w:t>Catalogue-grounded rejection explanation and ClaimRecord-based protected facts.</w:t>
      </w:r>
    </w:p>
    <w:p>
      <w:pPr>
        <w:pStyle w:val="ListBullet"/>
      </w:pPr>
      <w:r>
        <w:rPr>
          <w:rFonts w:ascii="Calibri" w:hAnsi="Calibri"/>
          <w:color w:val="111827"/>
          <w:sz w:val="22"/>
        </w:rPr>
        <w:t>Refusal and escalation, operator review UI, full prompt/source/output/review provenance.</w:t>
      </w:r>
    </w:p>
    <w:p>
      <w:pPr>
        <w:pStyle w:val="ListBullet"/>
      </w:pPr>
      <w:r>
        <w:rPr>
          <w:rFonts w:ascii="Calibri" w:hAnsi="Calibri"/>
          <w:color w:val="111827"/>
          <w:sz w:val="22"/>
        </w:rPr>
        <w:t>No autonomous customer response, no direct messaging and no submission authority.</w:t>
      </w:r>
    </w:p>
    <w:p>
      <w:pPr>
        <w:pStyle w:val="Heading3"/>
        <w:keepNext/>
      </w:pPr>
      <w:r>
        <w:t>Exit gate</w:t>
      </w:r>
    </w:p>
    <w:p>
      <w:pPr>
        <w:pStyle w:val="ListBullet"/>
      </w:pPr>
      <w:r>
        <w:rPr>
          <w:rFonts w:ascii="Calibri" w:hAnsi="Calibri"/>
          <w:color w:val="111827"/>
          <w:sz w:val="22"/>
        </w:rPr>
        <w:t>Zero unsupported binding claims in the approved held-out/adversarial evaluation set.</w:t>
      </w:r>
    </w:p>
    <w:p>
      <w:pPr>
        <w:pStyle w:val="ListBullet"/>
      </w:pPr>
      <w:r>
        <w:rPr>
          <w:rFonts w:ascii="Calibri" w:hAnsi="Calibri"/>
          <w:color w:val="111827"/>
          <w:sz w:val="22"/>
        </w:rPr>
        <w:t>One hundred percent of protected facts link exactly to current active ClaimRecords.</w:t>
      </w:r>
    </w:p>
    <w:p>
      <w:pPr>
        <w:pStyle w:val="ListBullet"/>
      </w:pPr>
      <w:r>
        <w:rPr>
          <w:rFonts w:ascii="Calibri" w:hAnsi="Calibri"/>
          <w:color w:val="111827"/>
          <w:sz w:val="22"/>
        </w:rPr>
        <w:t>All below-threshold critical fields are flagged; no critical suggestion reaches submission without confirmation.</w:t>
      </w:r>
    </w:p>
    <w:p>
      <w:pPr>
        <w:pStyle w:val="ListBullet"/>
      </w:pPr>
      <w:r>
        <w:rPr>
          <w:rFonts w:ascii="Calibri" w:hAnsi="Calibri"/>
          <w:color w:val="111827"/>
          <w:sz w:val="22"/>
        </w:rPr>
        <w:t>At least 25% reduction in median human-active handling time on a representative shadow cohort.</w:t>
      </w:r>
    </w:p>
    <w:p>
      <w:pPr>
        <w:pStyle w:val="ListBullet"/>
      </w:pPr>
      <w:r>
        <w:rPr>
          <w:rFonts w:ascii="Calibri" w:hAnsi="Calibri"/>
          <w:color w:val="111827"/>
          <w:sz w:val="22"/>
        </w:rPr>
        <w:t>No high-severity tenant, privacy, residency or prompt-injection finding; manual work remains fully available.</w:t>
      </w:r>
    </w:p>
    <w:p>
      <w:pPr>
        <w:pStyle w:val="Heading2"/>
        <w:keepNext/>
      </w:pPr>
      <w:r>
        <w:t>C2 — Controlled Compliance Desk Pilot</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8EEF5" w:val="clear"/>
            <w:tcBorders>
              <w:top w:val="single" w:sz="2" w:space="0" w:color="E8EEF5"/>
              <w:left w:val="single" w:sz="2" w:space="0" w:color="E8EEF5"/>
              <w:bottom w:val="single" w:sz="2" w:space="0" w:color="E8EEF5"/>
              <w:right w:val="single" w:sz="2" w:space="0" w:color="E8EEF5"/>
              <w:insideH w:val="single" w:sz="2" w:space="0" w:color="E8EEF5"/>
              <w:insideV w:val="single" w:sz="2" w:space="0" w:color="E8EEF5"/>
            </w:tcBorders>
            <w:tcMar>
              <w:top w:w="80" w:type="dxa"/>
              <w:bottom w:w="80" w:type="dxa"/>
              <w:start w:w="120" w:type="dxa"/>
              <w:end w:w="120" w:type="dxa"/>
            </w:tcMar>
          </w:tcPr>
          <w:p>
            <w:pPr>
              <w:spacing w:after="0"/>
            </w:pPr>
            <w:r>
              <w:rPr>
                <w:rFonts w:ascii="Calibri" w:hAnsi="Calibri"/>
                <w:b/>
                <w:color w:val="1F4D78"/>
                <w:sz w:val="21"/>
              </w:rPr>
              <w:t xml:space="preserve">ALIGNMENT: </w:t>
            </w:r>
            <w:r>
              <w:rPr>
                <w:rFonts w:ascii="Calibri" w:hAnsi="Calibri"/>
                <w:color w:val="111827"/>
                <w:sz w:val="21"/>
              </w:rPr>
              <w:t>Late R1 to early R2; limited cohort behind PL-02 feature flags.</w:t>
            </w:r>
          </w:p>
        </w:tc>
      </w:tr>
    </w:tbl>
    <w:p>
      <w:pPr>
        <w:spacing w:after="0"/>
      </w:pPr>
    </w:p>
    <w:p>
      <w:pPr>
        <w:spacing w:after="120" w:line="300" w:lineRule="auto"/>
      </w:pPr>
      <w:r>
        <w:rPr>
          <w:rFonts w:ascii="Calibri" w:hAnsi="Calibri"/>
          <w:i w:val="0"/>
          <w:color w:val="111827"/>
        </w:rPr>
        <w:t>Test whether Clerk can safely improve a managed service through consented inbound WhatsApp and secure clarification while a named operator still approves every material action.</w:t>
      </w:r>
    </w:p>
    <w:p>
      <w:pPr>
        <w:pStyle w:val="Heading3"/>
        <w:keepNext/>
      </w:pPr>
      <w:r>
        <w:t>Pilot design</w:t>
      </w:r>
    </w:p>
    <w:p>
      <w:pPr>
        <w:pStyle w:val="ListBullet"/>
      </w:pPr>
      <w:r>
        <w:rPr>
          <w:rFonts w:ascii="Calibri" w:hAnsi="Calibri"/>
          <w:color w:val="111827"/>
          <w:sz w:val="22"/>
        </w:rPr>
        <w:t>Six weeks; three to five accountant firms; 40–60 Desk clients; target at least 750 cases across the supported mix.</w:t>
      </w:r>
    </w:p>
    <w:p>
      <w:pPr>
        <w:pStyle w:val="ListBullet"/>
      </w:pPr>
      <w:r>
        <w:rPr>
          <w:rFonts w:ascii="Calibri" w:hAnsi="Calibri"/>
          <w:color w:val="111827"/>
          <w:sz w:val="22"/>
        </w:rPr>
        <w:t>Client-initiated photo, PDF, text and English voice input; Nigerian Pidgin remains gated by its own benchmark.</w:t>
      </w:r>
    </w:p>
    <w:p>
      <w:pPr>
        <w:pStyle w:val="ListBullet"/>
      </w:pPr>
      <w:r>
        <w:rPr>
          <w:rFonts w:ascii="Calibri" w:hAnsi="Calibri"/>
          <w:color w:val="111827"/>
          <w:sz w:val="22"/>
        </w:rPr>
        <w:t>Secure missing-field completion, pointer-only status/deadline nudges and visible human-review status.</w:t>
      </w:r>
    </w:p>
    <w:p>
      <w:pPr>
        <w:pStyle w:val="ListBullet"/>
      </w:pPr>
      <w:r>
        <w:rPr>
          <w:rFonts w:ascii="Calibri" w:hAnsi="Calibri"/>
          <w:color w:val="111827"/>
          <w:sz w:val="22"/>
        </w:rPr>
        <w:t>Operator-approved messages and submission; no buyer chasing until BR-02 exists.</w:t>
      </w:r>
    </w:p>
    <w:p>
      <w:pPr>
        <w:pStyle w:val="Heading3"/>
        <w:keepNext/>
      </w:pPr>
      <w:r>
        <w:t>Exit gate</w:t>
      </w:r>
    </w:p>
    <w:p>
      <w:pPr>
        <w:pStyle w:val="ListBullet"/>
      </w:pPr>
      <w:r>
        <w:rPr>
          <w:rFonts w:ascii="Calibri" w:hAnsi="Calibri"/>
          <w:color w:val="111827"/>
          <w:sz w:val="22"/>
        </w:rPr>
        <w:t>Zero unsupported client-visible claims, zero data-bearing outbound messages and zero unapproved submissions.</w:t>
      </w:r>
    </w:p>
    <w:p>
      <w:pPr>
        <w:pStyle w:val="ListBullet"/>
      </w:pPr>
      <w:r>
        <w:rPr>
          <w:rFonts w:ascii="Calibri" w:hAnsi="Calibri"/>
          <w:color w:val="111827"/>
          <w:sz w:val="22"/>
        </w:rPr>
        <w:t>No Clerk-caused penalty or high-severity privacy/security incident.</w:t>
      </w:r>
    </w:p>
    <w:p>
      <w:pPr>
        <w:pStyle w:val="ListBullet"/>
      </w:pPr>
      <w:r>
        <w:rPr>
          <w:rFonts w:ascii="Calibri" w:hAnsi="Calibri"/>
          <w:color w:val="111827"/>
          <w:sz w:val="22"/>
        </w:rPr>
        <w:t>At least 35% handling-time reduction and at least 60 clients per operator at the existing SLA for the measured period.</w:t>
      </w:r>
    </w:p>
    <w:p>
      <w:pPr>
        <w:pStyle w:val="ListBullet"/>
      </w:pPr>
      <w:r>
        <w:rPr>
          <w:rFonts w:ascii="Calibri" w:hAnsi="Calibri"/>
          <w:color w:val="111827"/>
          <w:sz w:val="22"/>
        </w:rPr>
        <w:t>At least 70% of supported cases reach review without manual re-keying; CSAT target at least 4.2/5.</w:t>
      </w:r>
    </w:p>
    <w:p>
      <w:pPr>
        <w:pStyle w:val="ListBullet"/>
      </w:pPr>
      <w:r>
        <w:rPr>
          <w:rFonts w:ascii="Calibri" w:hAnsi="Calibri"/>
          <w:color w:val="111827"/>
          <w:sz w:val="22"/>
        </w:rPr>
        <w:t>All incremental inference, messaging, QA, counsel and compute costs are included in cost-per-case review.</w:t>
      </w:r>
    </w:p>
    <w:p>
      <w:pPr>
        <w:pStyle w:val="Heading2"/>
        <w:keepNext/>
      </w:pPr>
      <w:r>
        <w:t>C3 — Channel and Buyer Operator</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8EEF5" w:val="clear"/>
            <w:tcBorders>
              <w:top w:val="single" w:sz="2" w:space="0" w:color="E8EEF5"/>
              <w:left w:val="single" w:sz="2" w:space="0" w:color="E8EEF5"/>
              <w:bottom w:val="single" w:sz="2" w:space="0" w:color="E8EEF5"/>
              <w:right w:val="single" w:sz="2" w:space="0" w:color="E8EEF5"/>
              <w:insideH w:val="single" w:sz="2" w:space="0" w:color="E8EEF5"/>
              <w:insideV w:val="single" w:sz="2" w:space="0" w:color="E8EEF5"/>
            </w:tcBorders>
            <w:tcMar>
              <w:top w:w="80" w:type="dxa"/>
              <w:bottom w:w="80" w:type="dxa"/>
              <w:start w:w="120" w:type="dxa"/>
              <w:end w:w="120" w:type="dxa"/>
            </w:tcMar>
          </w:tcPr>
          <w:p>
            <w:pPr>
              <w:spacing w:after="0"/>
            </w:pPr>
            <w:r>
              <w:rPr>
                <w:rFonts w:ascii="Calibri" w:hAnsi="Calibri"/>
                <w:b/>
                <w:color w:val="1F4D78"/>
                <w:sz w:val="21"/>
              </w:rPr>
              <w:t xml:space="preserve">ALIGNMENT: </w:t>
            </w:r>
            <w:r>
              <w:rPr>
                <w:rFonts w:ascii="Calibri" w:hAnsi="Calibri"/>
                <w:color w:val="111827"/>
                <w:sz w:val="21"/>
              </w:rPr>
              <w:t>Hosted by R2; Q2–Q3 2027. Absorbs the existing AI failure-explainer candidate.</w:t>
            </w:r>
          </w:p>
        </w:tc>
      </w:tr>
    </w:tbl>
    <w:p>
      <w:pPr>
        <w:spacing w:after="0"/>
      </w:pPr>
    </w:p>
    <w:p>
      <w:pPr>
        <w:spacing w:after="120" w:line="300" w:lineRule="auto"/>
      </w:pPr>
      <w:r>
        <w:rPr>
          <w:rFonts w:ascii="Calibri" w:hAnsi="Calibri"/>
          <w:i w:val="0"/>
          <w:color w:val="111827"/>
        </w:rPr>
        <w:t>Scale only the capabilities proven in C2, add accountant white-label use under the main R2 scope, and attack the buyer-confirmation bottleneck through BR-02 without weakening SEC-12.</w:t>
      </w:r>
    </w:p>
    <w:p>
      <w:pPr>
        <w:pStyle w:val="Heading3"/>
        <w:keepNext/>
      </w:pPr>
      <w:r>
        <w:t>Ships</w:t>
      </w:r>
    </w:p>
    <w:p>
      <w:pPr>
        <w:pStyle w:val="ListBullet"/>
      </w:pPr>
      <w:r>
        <w:rPr>
          <w:rFonts w:ascii="Calibri" w:hAnsi="Calibri"/>
          <w:color w:val="111827"/>
          <w:sz w:val="22"/>
        </w:rPr>
        <w:t>White-label Clerk in the Accountant Console; bulk client intake assistance and tenant-level operating analytics.</w:t>
      </w:r>
    </w:p>
    <w:p>
      <w:pPr>
        <w:pStyle w:val="ListBullet"/>
      </w:pPr>
      <w:r>
        <w:rPr>
          <w:rFonts w:ascii="Calibri" w:hAnsi="Calibri"/>
          <w:color w:val="111827"/>
          <w:sz w:val="22"/>
        </w:rPr>
        <w:t>Approved Pidgin release only after independent accuracy, comprehension and support review.</w:t>
      </w:r>
    </w:p>
    <w:p>
      <w:pPr>
        <w:pStyle w:val="ListBullet"/>
      </w:pPr>
      <w:r>
        <w:rPr>
          <w:rFonts w:ascii="Calibri" w:hAnsi="Calibri"/>
          <w:color w:val="111827"/>
          <w:sz w:val="22"/>
        </w:rPr>
        <w:t>Buyer-reminder eligibility, approved templates, authenticated confirmation links, cadence caps, quiet hours, opt-out and exception queue.</w:t>
      </w:r>
    </w:p>
    <w:p>
      <w:pPr>
        <w:pStyle w:val="ListBullet"/>
      </w:pPr>
      <w:r>
        <w:rPr>
          <w:rFonts w:ascii="Calibri" w:hAnsi="Calibri"/>
          <w:color w:val="111827"/>
          <w:sz w:val="22"/>
        </w:rPr>
        <w:t>Confirmation bottleneck dashboard and controlled cohort experiments; no credit narrative.</w:t>
      </w:r>
    </w:p>
    <w:p>
      <w:pPr>
        <w:pStyle w:val="Heading3"/>
        <w:keepNext/>
      </w:pPr>
      <w:r>
        <w:t>Exit gate</w:t>
      </w:r>
    </w:p>
    <w:p>
      <w:pPr>
        <w:pStyle w:val="ListBullet"/>
      </w:pPr>
      <w:r>
        <w:rPr>
          <w:rFonts w:ascii="Calibri" w:hAnsi="Calibri"/>
          <w:color w:val="111827"/>
          <w:sz w:val="22"/>
        </w:rPr>
        <w:t>Main R2 gates pass: at least three anchor buyers, 50+ confirmed invoices monthly and tracking to 300 credit-observable businesses.</w:t>
      </w:r>
    </w:p>
    <w:p>
      <w:pPr>
        <w:pStyle w:val="ListBullet"/>
      </w:pPr>
      <w:r>
        <w:rPr>
          <w:rFonts w:ascii="Calibri" w:hAnsi="Calibri"/>
          <w:color w:val="111827"/>
          <w:sz w:val="22"/>
        </w:rPr>
        <w:t>At least 90 Desk clients per operator sustained for eight weeks without breaching accuracy, SLA or staff-wellbeing guardrails.</w:t>
      </w:r>
    </w:p>
    <w:p>
      <w:pPr>
        <w:pStyle w:val="ListBullet"/>
      </w:pPr>
      <w:r>
        <w:rPr>
          <w:rFonts w:ascii="Calibri" w:hAnsi="Calibri"/>
          <w:color w:val="111827"/>
          <w:sz w:val="22"/>
        </w:rPr>
        <w:t>Desk support cost per completed invoice falls at least 30%, inclusive of AI and QA costs.</w:t>
      </w:r>
    </w:p>
    <w:p>
      <w:pPr>
        <w:pStyle w:val="ListBullet"/>
      </w:pPr>
      <w:r>
        <w:rPr>
          <w:rFonts w:ascii="Calibri" w:hAnsi="Calibri"/>
          <w:color w:val="111827"/>
          <w:sz w:val="22"/>
        </w:rPr>
        <w:t>At least three firms include Clerk in paid proposals, renewals or managed-service expansion.</w:t>
      </w:r>
    </w:p>
    <w:p>
      <w:pPr>
        <w:pStyle w:val="ListBullet"/>
      </w:pPr>
      <w:r>
        <w:rPr>
          <w:rFonts w:ascii="Calibri" w:hAnsi="Calibri"/>
          <w:color w:val="111827"/>
          <w:sz w:val="22"/>
        </w:rPr>
        <w:t>Buyer follow-up produces measurable confirmation uplift without material complaint, opt-out or relationship harm.</w:t>
      </w:r>
    </w:p>
    <w:p>
      <w:pPr>
        <w:pStyle w:val="Heading2"/>
        <w:keepNext/>
      </w:pPr>
      <w:r>
        <w:t>C4 — Scale and ProofGraph Substrate</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8EEF5" w:val="clear"/>
            <w:tcBorders>
              <w:top w:val="single" w:sz="2" w:space="0" w:color="E8EEF5"/>
              <w:left w:val="single" w:sz="2" w:space="0" w:color="E8EEF5"/>
              <w:bottom w:val="single" w:sz="2" w:space="0" w:color="E8EEF5"/>
              <w:right w:val="single" w:sz="2" w:space="0" w:color="E8EEF5"/>
              <w:insideH w:val="single" w:sz="2" w:space="0" w:color="E8EEF5"/>
              <w:insideV w:val="single" w:sz="2" w:space="0" w:color="E8EEF5"/>
            </w:tcBorders>
            <w:tcMar>
              <w:top w:w="80" w:type="dxa"/>
              <w:bottom w:w="80" w:type="dxa"/>
              <w:start w:w="120" w:type="dxa"/>
              <w:end w:w="120" w:type="dxa"/>
            </w:tcMar>
          </w:tcPr>
          <w:p>
            <w:pPr>
              <w:spacing w:after="0"/>
            </w:pPr>
            <w:r>
              <w:rPr>
                <w:rFonts w:ascii="Calibri" w:hAnsi="Calibri"/>
                <w:b/>
                <w:color w:val="1F4D78"/>
                <w:sz w:val="21"/>
              </w:rPr>
              <w:t xml:space="preserve">ALIGNMENT: </w:t>
            </w:r>
            <w:r>
              <w:rPr>
                <w:rFonts w:ascii="Calibri" w:hAnsi="Calibri"/>
                <w:color w:val="111827"/>
                <w:sz w:val="21"/>
              </w:rPr>
              <w:t>Hosted by R3; H2 2027. No external credit decision or readiness claim.</w:t>
            </w:r>
          </w:p>
        </w:tc>
      </w:tr>
    </w:tbl>
    <w:p>
      <w:pPr>
        <w:spacing w:after="0"/>
      </w:pPr>
    </w:p>
    <w:p>
      <w:pPr>
        <w:spacing w:after="120" w:line="300" w:lineRule="auto"/>
      </w:pPr>
      <w:r>
        <w:rPr>
          <w:rFonts w:ascii="Calibri" w:hAnsi="Calibri"/>
          <w:i w:val="0"/>
          <w:color w:val="111827"/>
        </w:rPr>
        <w:t>Turn audited Clerk outcomes into reliable evidence labels and operational intelligence only after the corpus is large enough to measure rather than speculate.</w:t>
      </w:r>
    </w:p>
    <w:p>
      <w:pPr>
        <w:pStyle w:val="Heading3"/>
        <w:keepNext/>
      </w:pPr>
      <w:r>
        <w:t>Ships</w:t>
      </w:r>
    </w:p>
    <w:p>
      <w:pPr>
        <w:pStyle w:val="ListBullet"/>
      </w:pPr>
      <w:r>
        <w:rPr>
          <w:rFonts w:ascii="Calibri" w:hAnsi="Calibri"/>
          <w:color w:val="111827"/>
          <w:sz w:val="22"/>
        </w:rPr>
        <w:t>Model, prompt, policy and rule registry; richer outcome labels and cohort-quality dashboards.</w:t>
      </w:r>
    </w:p>
    <w:p>
      <w:pPr>
        <w:pStyle w:val="ListBullet"/>
      </w:pPr>
      <w:r>
        <w:rPr>
          <w:rFonts w:ascii="Calibri" w:hAnsi="Calibri"/>
          <w:color w:val="111827"/>
          <w:sz w:val="22"/>
        </w:rPr>
        <w:t>Workload routing, improved extraction, rejection-risk indicators, duplicate/anomaly flags and settlement-match suggestions where supported.</w:t>
      </w:r>
    </w:p>
    <w:p>
      <w:pPr>
        <w:pStyle w:val="ListBullet"/>
      </w:pPr>
      <w:r>
        <w:rPr>
          <w:rFonts w:ascii="Calibri" w:hAnsi="Calibri"/>
          <w:color w:val="111827"/>
          <w:sz w:val="22"/>
        </w:rPr>
        <w:t>Transaction-evidence events feeding a ProofGraph view that distinguishes stamp, confirmation, settlement and dispute provenance.</w:t>
      </w:r>
    </w:p>
    <w:p>
      <w:pPr>
        <w:pStyle w:val="ListBullet"/>
      </w:pPr>
      <w:r>
        <w:rPr>
          <w:rFonts w:ascii="Calibri" w:hAnsi="Calibri"/>
          <w:color w:val="111827"/>
          <w:sz w:val="22"/>
        </w:rPr>
        <w:t>No automated eligibility, credit decision, external finance-readiness claim or lending recommendation.</w:t>
      </w:r>
    </w:p>
    <w:p>
      <w:pPr>
        <w:pStyle w:val="Heading3"/>
        <w:keepNext/>
      </w:pPr>
      <w:r>
        <w:t>Exit gate</w:t>
      </w:r>
    </w:p>
    <w:p>
      <w:pPr>
        <w:pStyle w:val="ListBullet"/>
      </w:pPr>
      <w:r>
        <w:rPr>
          <w:rFonts w:ascii="Calibri" w:hAnsi="Calibri"/>
          <w:color w:val="111827"/>
          <w:sz w:val="22"/>
        </w:rPr>
        <w:t>At least 5,000 audited Clerk cases with stable performance across tenants, document types and supported languages.</w:t>
      </w:r>
    </w:p>
    <w:p>
      <w:pPr>
        <w:pStyle w:val="ListBullet"/>
      </w:pPr>
      <w:r>
        <w:rPr>
          <w:rFonts w:ascii="Calibri" w:hAnsi="Calibri"/>
          <w:color w:val="111827"/>
          <w:sz w:val="22"/>
        </w:rPr>
        <w:t>The 120-client operator ratio is accepted only if sustained across at least two operators or practices for eight weeks with intact service and quality.</w:t>
      </w:r>
    </w:p>
    <w:p>
      <w:pPr>
        <w:pStyle w:val="ListBullet"/>
      </w:pPr>
      <w:r>
        <w:rPr>
          <w:rFonts w:ascii="Calibri" w:hAnsi="Calibri"/>
          <w:color w:val="111827"/>
          <w:sz w:val="22"/>
        </w:rPr>
        <w:t>Main R3 data-room and bank-feedback gates pass before any output is described as bank-grade.</w:t>
      </w:r>
    </w:p>
    <w:p>
      <w:pPr>
        <w:pStyle w:val="Heading2"/>
        <w:keepNext/>
      </w:pPr>
      <w:r>
        <w:t>C5 — Hardening and Selective Expansion</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8EEF5" w:val="clear"/>
            <w:tcBorders>
              <w:top w:val="single" w:sz="2" w:space="0" w:color="E8EEF5"/>
              <w:left w:val="single" w:sz="2" w:space="0" w:color="E8EEF5"/>
              <w:bottom w:val="single" w:sz="2" w:space="0" w:color="E8EEF5"/>
              <w:right w:val="single" w:sz="2" w:space="0" w:color="E8EEF5"/>
              <w:insideH w:val="single" w:sz="2" w:space="0" w:color="E8EEF5"/>
              <w:insideV w:val="single" w:sz="2" w:space="0" w:color="E8EEF5"/>
            </w:tcBorders>
            <w:tcMar>
              <w:top w:w="80" w:type="dxa"/>
              <w:bottom w:w="80" w:type="dxa"/>
              <w:start w:w="120" w:type="dxa"/>
              <w:end w:w="120" w:type="dxa"/>
            </w:tcMar>
          </w:tcPr>
          <w:p>
            <w:pPr>
              <w:spacing w:after="0"/>
            </w:pPr>
            <w:r>
              <w:rPr>
                <w:rFonts w:ascii="Calibri" w:hAnsi="Calibri"/>
                <w:b/>
                <w:color w:val="1F4D78"/>
                <w:sz w:val="21"/>
              </w:rPr>
              <w:t xml:space="preserve">ALIGNMENT: </w:t>
            </w:r>
            <w:r>
              <w:rPr>
                <w:rFonts w:ascii="Calibri" w:hAnsi="Calibri"/>
                <w:color w:val="111827"/>
                <w:sz w:val="21"/>
              </w:rPr>
              <w:t>Hosted by R4–R5; 2028 onward. Main financing and scale gates govern.</w:t>
            </w:r>
          </w:p>
        </w:tc>
      </w:tr>
    </w:tbl>
    <w:p>
      <w:pPr>
        <w:spacing w:after="0"/>
      </w:pPr>
    </w:p>
    <w:p>
      <w:pPr>
        <w:spacing w:after="120" w:line="300" w:lineRule="auto"/>
      </w:pPr>
      <w:r>
        <w:rPr>
          <w:rFonts w:ascii="Calibri" w:hAnsi="Calibri"/>
          <w:i w:val="0"/>
          <w:color w:val="111827"/>
        </w:rPr>
        <w:t>Optimise only proven workflows, extend languages and partners selectively, and preserve a strict boundary between compliance assistance and bank-owned credit decisions.</w:t>
      </w:r>
    </w:p>
    <w:p>
      <w:pPr>
        <w:pStyle w:val="Heading3"/>
        <w:keepNext/>
      </w:pPr>
      <w:r>
        <w:t>Ships</w:t>
      </w:r>
    </w:p>
    <w:p>
      <w:pPr>
        <w:pStyle w:val="ListBullet"/>
      </w:pPr>
      <w:r>
        <w:rPr>
          <w:rFonts w:ascii="Calibri" w:hAnsi="Calibri"/>
          <w:color w:val="111827"/>
          <w:sz w:val="22"/>
        </w:rPr>
        <w:t>Additional languages after independent local evaluation, approved templates and support readiness.</w:t>
      </w:r>
    </w:p>
    <w:p>
      <w:pPr>
        <w:pStyle w:val="ListBullet"/>
      </w:pPr>
      <w:r>
        <w:rPr>
          <w:rFonts w:ascii="Calibri" w:hAnsi="Calibri"/>
          <w:color w:val="111827"/>
          <w:sz w:val="22"/>
        </w:rPr>
        <w:t>Partner API and own-APP integration behind the existing adapter and permission contracts.</w:t>
      </w:r>
    </w:p>
    <w:p>
      <w:pPr>
        <w:pStyle w:val="ListBullet"/>
      </w:pPr>
      <w:r>
        <w:rPr>
          <w:rFonts w:ascii="Calibri" w:hAnsi="Calibri"/>
          <w:color w:val="111827"/>
          <w:sz w:val="22"/>
        </w:rPr>
        <w:t>Infrastructure optimisation, resilience, provider portability and cost controls.</w:t>
      </w:r>
    </w:p>
    <w:p>
      <w:pPr>
        <w:pStyle w:val="ListBullet"/>
      </w:pPr>
      <w:r>
        <w:rPr>
          <w:rFonts w:ascii="Calibri" w:hAnsi="Calibri"/>
          <w:color w:val="111827"/>
          <w:sz w:val="22"/>
        </w:rPr>
        <w:t>Workflow-status explanation and missing-evidence collection for approved financing flows; no eligibility or pricing decision by Clerk.</w:t>
      </w:r>
    </w:p>
    <w:p>
      <w:pPr>
        <w:pStyle w:val="Heading3"/>
        <w:keepNext/>
      </w:pPr>
      <w:r>
        <w:t>Exit gate</w:t>
      </w:r>
    </w:p>
    <w:p>
      <w:pPr>
        <w:spacing w:after="120" w:line="300" w:lineRule="auto"/>
      </w:pPr>
      <w:r>
        <w:rPr>
          <w:rFonts w:ascii="Calibri" w:hAnsi="Calibri"/>
          <w:i w:val="0"/>
          <w:color w:val="111827"/>
        </w:rPr>
        <w:t>The main R4/R5 gates control. Four consecutive in-spec financing quarters are required before the governance committee considers any expanded Clerk role around a bank workflow.</w:t>
      </w:r>
    </w:p>
    <w:p>
      <w:pPr>
        <w:pStyle w:val="Heading1"/>
        <w:keepNext/>
      </w:pPr>
      <w:r>
        <w:t>6. Pilot scorecard and unit economics</w:t>
      </w:r>
    </w:p>
    <w:p>
      <w:pPr>
        <w:pStyle w:val="Heading2"/>
        <w:keepNext/>
      </w:pPr>
      <w:r>
        <w:t>6.1 Safety and compliance</w:t>
      </w:r>
    </w:p>
    <w:tbl>
      <w:tblPr>
        <w:tblW w:type="dxa" w:w="9360"/>
        <w:jc w:val="left"/>
        <w:tblLayout w:type="fixed"/>
        <w:tblLook w:firstColumn="1" w:firstRow="1" w:lastColumn="0" w:lastRow="0" w:noHBand="0" w:noVBand="1" w:val="04A0"/>
        <w:tblInd w:type="dxa" w:w="120"/>
      </w:tblPr>
      <w:tblGrid>
        <w:gridCol w:w="3096"/>
        <w:gridCol w:w="3168"/>
        <w:gridCol w:w="3096"/>
      </w:tblGrid>
      <w:tr>
        <w:trPr>
          <w:tblHeader w:val="true"/>
        </w:trPr>
        <w:tc>
          <w:tcPr>
            <w:tcW w:type="dxa" w:w="3096"/>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Metric</w:t>
            </w:r>
          </w:p>
        </w:tc>
        <w:tc>
          <w:tcPr>
            <w:tcW w:type="dxa" w:w="3168"/>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Working threshold</w:t>
            </w:r>
          </w:p>
        </w:tc>
        <w:tc>
          <w:tcPr>
            <w:tcW w:type="dxa" w:w="3096"/>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Evidence</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Unsupported binding claims</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Zero</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Continuous deterministic checks plus monthly governance audit</w:t>
            </w:r>
          </w:p>
        </w:tc>
      </w:tr>
      <w:tr>
        <w:trPr>
          <w:cantSplit/>
        </w:trPr>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Protected facts</w:t>
            </w:r>
          </w:p>
        </w:tc>
        <w:tc>
          <w:tcPr>
            <w:tcW w:type="dxa" w:w="31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100% exact from active ClaimRecords</w:t>
            </w:r>
          </w:p>
        </w:tc>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Source/value comparison and claim version</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Submission authority</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100% explicit authorised human approval</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Audit event and role/contract check</w:t>
            </w:r>
          </w:p>
        </w:tc>
      </w:tr>
      <w:tr>
        <w:trPr>
          <w:cantSplit/>
        </w:trPr>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Outbound data boundary</w:t>
            </w:r>
          </w:p>
        </w:tc>
        <w:tc>
          <w:tcPr>
            <w:tcW w:type="dxa" w:w="31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Zero prohibited fields or attachments</w:t>
            </w:r>
          </w:p>
        </w:tc>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Template/runtime lint and sampled messages</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Cross-border processing</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Zero unapproved C3 path</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Infrastructure, egress and provider evidence</w:t>
            </w:r>
          </w:p>
        </w:tc>
      </w:tr>
      <w:tr>
        <w:trPr>
          <w:cantSplit/>
        </w:trPr>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Audit completeness</w:t>
            </w:r>
          </w:p>
        </w:tc>
        <w:tc>
          <w:tcPr>
            <w:tcW w:type="dxa" w:w="31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100% material events with provenance</w:t>
            </w:r>
          </w:p>
        </w:tc>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CORE-05 hash/reference and restricted vault</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Out-of-scope refusal</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At least 99.5% safe refusal; zero false authoritative answer</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Adversarial evaluation set</w:t>
            </w:r>
          </w:p>
        </w:tc>
      </w:tr>
    </w:tbl>
    <w:p>
      <w:pPr>
        <w:spacing w:after="0"/>
      </w:pPr>
    </w:p>
    <w:p>
      <w:pPr>
        <w:pStyle w:val="Heading2"/>
        <w:keepNext/>
      </w:pPr>
      <w:r>
        <w:t>6.2 Quality and operations</w:t>
      </w:r>
    </w:p>
    <w:tbl>
      <w:tblPr>
        <w:tblW w:type="dxa" w:w="9360"/>
        <w:jc w:val="left"/>
        <w:tblLayout w:type="fixed"/>
        <w:tblLook w:firstColumn="1" w:firstRow="1" w:lastColumn="0" w:lastRow="0" w:noHBand="0" w:noVBand="1" w:val="04A0"/>
        <w:tblInd w:type="dxa" w:w="120"/>
      </w:tblPr>
      <w:tblGrid>
        <w:gridCol w:w="3096"/>
        <w:gridCol w:w="3168"/>
        <w:gridCol w:w="3096"/>
      </w:tblGrid>
      <w:tr>
        <w:trPr>
          <w:tblHeader w:val="true"/>
        </w:trPr>
        <w:tc>
          <w:tcPr>
            <w:tcW w:type="dxa" w:w="3096"/>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Metric</w:t>
            </w:r>
          </w:p>
        </w:tc>
        <w:tc>
          <w:tcPr>
            <w:tcW w:type="dxa" w:w="3168"/>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Pilot target</w:t>
            </w:r>
          </w:p>
        </w:tc>
        <w:tc>
          <w:tcPr>
            <w:tcW w:type="dxa" w:w="3096"/>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Expansion guardrail</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Critical-field suggestions</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≥99.5% precision above the suggestion threshold</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All remain human-confirmed through C2</w:t>
            </w:r>
          </w:p>
        </w:tc>
      </w:tr>
      <w:tr>
        <w:trPr>
          <w:cantSplit/>
        </w:trPr>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Non-critical structured fields</w:t>
            </w:r>
          </w:p>
        </w:tc>
        <w:tc>
          <w:tcPr>
            <w:tcW w:type="dxa" w:w="31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≥95% accuracy</w:t>
            </w:r>
          </w:p>
        </w:tc>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Segment by source type and language</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Error-catalogue mapping</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≥90% correct; unmapped failures trend below 2%</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Tax/engineering review before activation</w:t>
            </w:r>
          </w:p>
        </w:tc>
      </w:tr>
      <w:tr>
        <w:trPr>
          <w:cantSplit/>
        </w:trPr>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Cases without manual re-keying</w:t>
            </w:r>
          </w:p>
        </w:tc>
        <w:tc>
          <w:tcPr>
            <w:tcW w:type="dxa" w:w="31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≥70%</w:t>
            </w:r>
          </w:p>
        </w:tc>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No hidden work shifted to clients</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One-exchange clarification</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≥70% of incomplete supported inputs</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Outbound remains pointer-only</w:t>
            </w:r>
          </w:p>
        </w:tc>
      </w:tr>
      <w:tr>
        <w:trPr>
          <w:cantSplit/>
        </w:trPr>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Median active handling time</w:t>
            </w:r>
          </w:p>
        </w:tc>
        <w:tc>
          <w:tcPr>
            <w:tcW w:type="dxa" w:w="31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≥35% reduction in C2</w:t>
            </w:r>
          </w:p>
        </w:tc>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Pause if below 25% for two reviews</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Operator capacity</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40 baseline → 60 → 90 → tested 120</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Each band sustained with SLA, quality and wellbeing</w:t>
            </w:r>
          </w:p>
        </w:tc>
      </w:tr>
      <w:tr>
        <w:trPr>
          <w:cantSplit/>
        </w:trPr>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First stamped invoice</w:t>
            </w:r>
          </w:p>
        </w:tc>
        <w:tc>
          <w:tcPr>
            <w:tcW w:type="dxa" w:w="316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Maintain main R1 target under 48 hours</w:t>
            </w:r>
          </w:p>
        </w:tc>
        <w:tc>
          <w:tcPr>
            <w:tcW w:type="dxa" w:w="309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Clerk cannot worsen activation</w:t>
            </w:r>
          </w:p>
        </w:tc>
      </w:tr>
      <w:tr>
        <w:trPr>
          <w:cantSplit/>
        </w:trPr>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CSAT / abandonment</w:t>
            </w:r>
          </w:p>
        </w:tc>
        <w:tc>
          <w:tcPr>
            <w:tcW w:type="dxa" w:w="316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≥4.2/5; abandonment &lt;10%</w:t>
            </w:r>
          </w:p>
        </w:tc>
        <w:tc>
          <w:tcPr>
            <w:tcW w:type="dxa" w:w="309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Investigate by language/channel</w:t>
            </w:r>
          </w:p>
        </w:tc>
      </w:tr>
    </w:tbl>
    <w:p>
      <w:pPr>
        <w:spacing w:after="0"/>
      </w:pPr>
    </w:p>
    <w:p>
      <w:pPr>
        <w:pStyle w:val="Heading2"/>
        <w:keepNext/>
      </w:pPr>
      <w:r>
        <w:t>6.3 Commercial proof</w:t>
      </w:r>
    </w:p>
    <w:p>
      <w:pPr>
        <w:pStyle w:val="ListBullet"/>
      </w:pPr>
      <w:r>
        <w:rPr>
          <w:rFonts w:ascii="Calibri" w:hAnsi="Calibri"/>
          <w:color w:val="111827"/>
          <w:sz w:val="22"/>
        </w:rPr>
        <w:t>Cost per completed case includes Nigeria-resident compute, OCR, transcription, messaging, operator QA, language review, DPO/counsel and observability.</w:t>
      </w:r>
    </w:p>
    <w:p>
      <w:pPr>
        <w:pStyle w:val="ListBullet"/>
      </w:pPr>
      <w:r>
        <w:rPr>
          <w:rFonts w:ascii="Calibri" w:hAnsi="Calibri"/>
          <w:color w:val="111827"/>
          <w:sz w:val="22"/>
        </w:rPr>
        <w:t>Desk gross-margin assumptions do not change until a sustained measured cohort proves the new operator ratio and a per-tier P&amp;L is approved.</w:t>
      </w:r>
    </w:p>
    <w:p>
      <w:pPr>
        <w:pStyle w:val="ListBullet"/>
      </w:pPr>
      <w:r>
        <w:rPr>
          <w:rFonts w:ascii="Calibri" w:hAnsi="Calibri"/>
          <w:color w:val="111827"/>
          <w:sz w:val="22"/>
        </w:rPr>
        <w:t>At least three Certified Practice firms must sell or include Clerk in paid proposals before white-label scale is treated as demand evidence.</w:t>
      </w:r>
    </w:p>
    <w:p>
      <w:pPr>
        <w:pStyle w:val="ListBullet"/>
      </w:pPr>
      <w:r>
        <w:rPr>
          <w:rFonts w:ascii="Calibri" w:hAnsi="Calibri"/>
          <w:color w:val="111827"/>
          <w:sz w:val="22"/>
        </w:rPr>
        <w:t>If infrastructure and messaging costs consume the labour saving for two consecutive months, expansion pauses and the narrower catalogue assistant remains.</w:t>
      </w:r>
    </w:p>
    <w:p>
      <w:pPr>
        <w:pStyle w:val="Heading1"/>
        <w:keepNext/>
      </w:pPr>
      <w:r>
        <w:t>7. Dependencies and staffing</w:t>
      </w:r>
    </w:p>
    <w:p>
      <w:pPr>
        <w:pStyle w:val="Heading2"/>
        <w:keepNext/>
      </w:pPr>
      <w:r>
        <w:t>7.1 Main-product dependencies</w:t>
      </w:r>
    </w:p>
    <w:tbl>
      <w:tblPr>
        <w:tblW w:type="dxa" w:w="9360"/>
        <w:jc w:val="left"/>
        <w:tblLayout w:type="fixed"/>
        <w:tblLook w:firstColumn="1" w:firstRow="1" w:lastColumn="0" w:lastRow="0" w:noHBand="0" w:noVBand="1" w:val="04A0"/>
        <w:tblInd w:type="dxa" w:w="120"/>
      </w:tblPr>
      <w:tblGrid>
        <w:gridCol w:w="2520"/>
        <w:gridCol w:w="4608"/>
        <w:gridCol w:w="2232"/>
      </w:tblGrid>
      <w:tr>
        <w:trPr>
          <w:tblHeader w:val="true"/>
        </w:trPr>
        <w:tc>
          <w:tcPr>
            <w:tcW w:type="dxa" w:w="2520"/>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Dependency</w:t>
            </w:r>
          </w:p>
        </w:tc>
        <w:tc>
          <w:tcPr>
            <w:tcW w:type="dxa" w:w="4608"/>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Why Clerk needs it</w:t>
            </w:r>
          </w:p>
        </w:tc>
        <w:tc>
          <w:tcPr>
            <w:tcW w:type="dxa" w:w="2232"/>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Failure response</w:t>
            </w:r>
          </w:p>
        </w:tc>
      </w:tr>
      <w:tr>
        <w:trPr>
          <w:cantSplit/>
        </w:trPr>
        <w:tc>
          <w:tcPr>
            <w:tcW w:type="dxa" w:w="252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CORE-01/02</w:t>
            </w:r>
          </w:p>
        </w:tc>
        <w:tc>
          <w:tcPr>
            <w:tcW w:type="dxa" w:w="460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Canonical mapping and safe lifecycle</w:t>
            </w:r>
          </w:p>
        </w:tc>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Keep Clerk in synthetic/shadow mode</w:t>
            </w:r>
          </w:p>
        </w:tc>
      </w:tr>
      <w:tr>
        <w:trPr>
          <w:cantSplit/>
        </w:trPr>
        <w:tc>
          <w:tcPr>
            <w:tcW w:type="dxa" w:w="252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CORE-03</w:t>
            </w:r>
          </w:p>
        </w:tc>
        <w:tc>
          <w:tcPr>
            <w:tcW w:type="dxa" w:w="460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Purpose, consent and revocation</w:t>
            </w:r>
          </w:p>
        </w:tc>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Block affected capture/inference/message path</w:t>
            </w:r>
          </w:p>
        </w:tc>
      </w:tr>
      <w:tr>
        <w:trPr>
          <w:cantSplit/>
        </w:trPr>
        <w:tc>
          <w:tcPr>
            <w:tcW w:type="dxa" w:w="252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CORE-05</w:t>
            </w:r>
          </w:p>
        </w:tc>
        <w:tc>
          <w:tcPr>
            <w:tcW w:type="dxa" w:w="460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Tamper-evident material-event audit</w:t>
            </w:r>
          </w:p>
        </w:tc>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No production client visibility</w:t>
            </w:r>
          </w:p>
        </w:tc>
      </w:tr>
      <w:tr>
        <w:trPr>
          <w:cantSplit/>
        </w:trPr>
        <w:tc>
          <w:tcPr>
            <w:tcW w:type="dxa" w:w="252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ADV-03 / INT-02</w:t>
            </w:r>
          </w:p>
        </w:tc>
        <w:tc>
          <w:tcPr>
            <w:tcW w:type="dxa" w:w="460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Approved failures and fixes</w:t>
            </w:r>
          </w:p>
        </w:tc>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Refuse and escalate unmapped cases</w:t>
            </w:r>
          </w:p>
        </w:tc>
      </w:tr>
      <w:tr>
        <w:trPr>
          <w:cantSplit/>
        </w:trPr>
        <w:tc>
          <w:tcPr>
            <w:tcW w:type="dxa" w:w="252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CON-04</w:t>
            </w:r>
          </w:p>
        </w:tc>
        <w:tc>
          <w:tcPr>
            <w:tcW w:type="dxa" w:w="460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Queue, authority and handling-time baseline</w:t>
            </w:r>
          </w:p>
        </w:tc>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No operator-economics claim</w:t>
            </w:r>
          </w:p>
        </w:tc>
      </w:tr>
      <w:tr>
        <w:trPr>
          <w:cantSplit/>
        </w:trPr>
        <w:tc>
          <w:tcPr>
            <w:tcW w:type="dxa" w:w="252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PL-04 / INT-07 / SEC-12</w:t>
            </w:r>
          </w:p>
        </w:tc>
        <w:tc>
          <w:tcPr>
            <w:tcW w:type="dxa" w:w="460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Channel abstraction, receipts and safe pointers</w:t>
            </w:r>
          </w:p>
        </w:tc>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No client-facing WhatsApp</w:t>
            </w:r>
          </w:p>
        </w:tc>
      </w:tr>
      <w:tr>
        <w:trPr>
          <w:cantSplit/>
        </w:trPr>
        <w:tc>
          <w:tcPr>
            <w:tcW w:type="dxa" w:w="252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SEC-08/11 and OPEN-6</w:t>
            </w:r>
          </w:p>
        </w:tc>
        <w:tc>
          <w:tcPr>
            <w:tcW w:type="dxa" w:w="460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Residency, vendors and DPAs</w:t>
            </w:r>
          </w:p>
        </w:tc>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No real-client inference</w:t>
            </w:r>
          </w:p>
        </w:tc>
      </w:tr>
      <w:tr>
        <w:trPr>
          <w:cantSplit/>
        </w:trPr>
        <w:tc>
          <w:tcPr>
            <w:tcW w:type="dxa" w:w="252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BR-02</w:t>
            </w:r>
          </w:p>
        </w:tc>
        <w:tc>
          <w:tcPr>
            <w:tcW w:type="dxa" w:w="460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Buyer confirmation states and authority</w:t>
            </w:r>
          </w:p>
        </w:tc>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No buyer reminder capability</w:t>
            </w:r>
          </w:p>
        </w:tc>
      </w:tr>
      <w:tr>
        <w:trPr>
          <w:cantSplit/>
        </w:trPr>
        <w:tc>
          <w:tcPr>
            <w:tcW w:type="dxa" w:w="252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Main R3/R4 gates</w:t>
            </w:r>
          </w:p>
        </w:tc>
        <w:tc>
          <w:tcPr>
            <w:tcW w:type="dxa" w:w="460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Evidence and bank workflow boundary</w:t>
            </w:r>
          </w:p>
        </w:tc>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No credit or financing language</w:t>
            </w:r>
          </w:p>
        </w:tc>
      </w:tr>
    </w:tbl>
    <w:p>
      <w:pPr>
        <w:spacing w:after="0"/>
      </w:pPr>
    </w:p>
    <w:p>
      <w:pPr>
        <w:pStyle w:val="Heading2"/>
        <w:keepNext/>
      </w:pPr>
      <w:r>
        <w:t>7.2 Lean staffing by phase</w:t>
      </w:r>
    </w:p>
    <w:tbl>
      <w:tblPr>
        <w:tblW w:type="dxa" w:w="9360"/>
        <w:jc w:val="left"/>
        <w:tblLayout w:type="fixed"/>
        <w:tblLook w:firstColumn="1" w:firstRow="1" w:lastColumn="0" w:lastRow="0" w:noHBand="0" w:noVBand="1" w:val="04A0"/>
        <w:tblInd w:type="dxa" w:w="120"/>
      </w:tblPr>
      <w:tblGrid>
        <w:gridCol w:w="1080"/>
        <w:gridCol w:w="5832"/>
        <w:gridCol w:w="2448"/>
      </w:tblGrid>
      <w:tr>
        <w:trPr>
          <w:tblHeader w:val="true"/>
        </w:trPr>
        <w:tc>
          <w:tcPr>
            <w:tcW w:type="dxa" w:w="1080"/>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Phase</w:t>
            </w:r>
          </w:p>
        </w:tc>
        <w:tc>
          <w:tcPr>
            <w:tcW w:type="dxa" w:w="5832"/>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Core capacity</w:t>
            </w:r>
          </w:p>
        </w:tc>
        <w:tc>
          <w:tcPr>
            <w:tcW w:type="dxa" w:w="2448"/>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Addition trigger</w:t>
            </w:r>
          </w:p>
        </w:tc>
      </w:tr>
      <w:tr>
        <w:trPr>
          <w:cantSplit/>
        </w:trPr>
        <w:tc>
          <w:tcPr>
            <w:tcW w:type="dxa" w:w="10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C0</w:t>
            </w:r>
          </w:p>
        </w:tc>
        <w:tc>
          <w:tcPr>
            <w:tcW w:type="dxa" w:w="58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Product 0.25 FTE; backend/data 0.5; Desk/Tax 0.5; fractional DPO/Counsel/Security</w:t>
            </w:r>
          </w:p>
        </w:tc>
        <w:tc>
          <w:tcPr>
            <w:tcW w:type="dxa" w:w="244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No dedicated AI hire; cap engineering at 2–3 weeks</w:t>
            </w:r>
          </w:p>
        </w:tc>
      </w:tr>
      <w:tr>
        <w:trPr>
          <w:cantSplit/>
        </w:trPr>
        <w:tc>
          <w:tcPr>
            <w:tcW w:type="dxa" w:w="108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C1</w:t>
            </w:r>
          </w:p>
        </w:tc>
        <w:tc>
          <w:tcPr>
            <w:tcW w:type="dxa" w:w="58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AI/ML engineer 1; backend/integration 1; full-stack/product 0.5; Desk/Tax 0.5; fractional QA/Security</w:t>
            </w:r>
          </w:p>
        </w:tc>
        <w:tc>
          <w:tcPr>
            <w:tcW w:type="dxa" w:w="244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Only after R1 core workflow and shadow gate</w:t>
            </w:r>
          </w:p>
        </w:tc>
      </w:tr>
      <w:tr>
        <w:trPr>
          <w:cantSplit/>
        </w:trPr>
        <w:tc>
          <w:tcPr>
            <w:tcW w:type="dxa" w:w="10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C2</w:t>
            </w:r>
          </w:p>
        </w:tc>
        <w:tc>
          <w:tcPr>
            <w:tcW w:type="dxa" w:w="58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Two pilot operators; fractional UX researcher and Nigerian-language reviewer</w:t>
            </w:r>
          </w:p>
        </w:tc>
        <w:tc>
          <w:tcPr>
            <w:tcW w:type="dxa" w:w="244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Pilot cohort contracted and OPEN-6 closed</w:t>
            </w:r>
          </w:p>
        </w:tc>
      </w:tr>
      <w:tr>
        <w:trPr>
          <w:cantSplit/>
        </w:trPr>
        <w:tc>
          <w:tcPr>
            <w:tcW w:type="dxa" w:w="108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C3</w:t>
            </w:r>
          </w:p>
        </w:tc>
        <w:tc>
          <w:tcPr>
            <w:tcW w:type="dxa" w:w="58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SRE/Security 0.5; partner-success lead 1; operators follow proven ratio</w:t>
            </w:r>
          </w:p>
        </w:tc>
        <w:tc>
          <w:tcPr>
            <w:tcW w:type="dxa" w:w="244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R2 gates and paid-firm demand</w:t>
            </w:r>
          </w:p>
        </w:tc>
      </w:tr>
      <w:tr>
        <w:trPr>
          <w:cantSplit/>
        </w:trPr>
        <w:tc>
          <w:tcPr>
            <w:tcW w:type="dxa" w:w="10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C4</w:t>
            </w:r>
          </w:p>
        </w:tc>
        <w:tc>
          <w:tcPr>
            <w:tcW w:type="dxa" w:w="58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Data scientist 1</w:t>
            </w:r>
          </w:p>
        </w:tc>
        <w:tc>
          <w:tcPr>
            <w:tcW w:type="dxa" w:w="244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At least 5,000 audited outcome-labelled cases</w:t>
            </w:r>
          </w:p>
        </w:tc>
      </w:tr>
    </w:tbl>
    <w:p>
      <w:pPr>
        <w:spacing w:after="0"/>
      </w:pPr>
    </w:p>
    <w:p>
      <w:pPr>
        <w:pStyle w:val="Heading1"/>
        <w:keepNext/>
      </w:pPr>
      <w:r>
        <w:t>8. Risks, rollback and kill rules</w:t>
      </w:r>
    </w:p>
    <w:tbl>
      <w:tblPr>
        <w:tblW w:type="dxa" w:w="9360"/>
        <w:jc w:val="left"/>
        <w:tblLayout w:type="fixed"/>
        <w:tblLook w:firstColumn="1" w:firstRow="1" w:lastColumn="0" w:lastRow="0" w:noHBand="0" w:noVBand="1" w:val="04A0"/>
        <w:tblInd w:type="dxa" w:w="120"/>
      </w:tblPr>
      <w:tblGrid>
        <w:gridCol w:w="2232"/>
        <w:gridCol w:w="3312"/>
        <w:gridCol w:w="3816"/>
      </w:tblGrid>
      <w:tr>
        <w:trPr>
          <w:tblHeader w:val="true"/>
        </w:trPr>
        <w:tc>
          <w:tcPr>
            <w:tcW w:type="dxa" w:w="2232"/>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Risk</w:t>
            </w:r>
          </w:p>
        </w:tc>
        <w:tc>
          <w:tcPr>
            <w:tcW w:type="dxa" w:w="3312"/>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Early signal</w:t>
            </w:r>
          </w:p>
        </w:tc>
        <w:tc>
          <w:tcPr>
            <w:tcW w:type="dxa" w:w="3816"/>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Roadmap response</w:t>
            </w:r>
          </w:p>
        </w:tc>
      </w:tr>
      <w:tr>
        <w:trPr>
          <w:cantSplit/>
        </w:trPr>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Unsafe absolute positioning</w:t>
            </w:r>
          </w:p>
        </w:tc>
        <w:tc>
          <w:tcPr>
            <w:tcW w:type="dxa" w:w="331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Claim that an LLM itself cannot guess</w:t>
            </w:r>
          </w:p>
        </w:tc>
        <w:tc>
          <w:tcPr>
            <w:tcW w:type="dxa" w:w="381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Use deterministic protected facts and counsel-approved promise</w:t>
            </w:r>
          </w:p>
        </w:tc>
      </w:tr>
      <w:tr>
        <w:trPr>
          <w:cantSplit/>
        </w:trPr>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Stale compliance corpus</w:t>
            </w:r>
          </w:p>
        </w:tc>
        <w:tc>
          <w:tcPr>
            <w:tcW w:type="dxa" w:w="331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Overdue or conflicting claim records</w:t>
            </w:r>
          </w:p>
        </w:tc>
        <w:tc>
          <w:tcPr>
            <w:tcW w:type="dxa" w:w="381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Auto-suspend, refuse, update dependent tests/templates</w:t>
            </w:r>
          </w:p>
        </w:tc>
      </w:tr>
      <w:tr>
        <w:trPr>
          <w:cantSplit/>
        </w:trPr>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OCR/ASR critical error</w:t>
            </w:r>
          </w:p>
        </w:tc>
        <w:tc>
          <w:tcPr>
            <w:tcW w:type="dxa" w:w="331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High correction/override on identity, tax or totals</w:t>
            </w:r>
          </w:p>
        </w:tc>
        <w:tc>
          <w:tcPr>
            <w:tcW w:type="dxa" w:w="381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Raise threshold, full review or remove cohort</w:t>
            </w:r>
          </w:p>
        </w:tc>
      </w:tr>
      <w:tr>
        <w:trPr>
          <w:cantSplit/>
        </w:trPr>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Pidgin/Yoruba overclaim</w:t>
            </w:r>
          </w:p>
        </w:tc>
        <w:tc>
          <w:tcPr>
            <w:tcW w:type="dxa" w:w="331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English benchmark reused as proxy</w:t>
            </w:r>
          </w:p>
        </w:tc>
        <w:tc>
          <w:tcPr>
            <w:tcW w:type="dxa" w:w="381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Separate local corpus and release gate; no public claim before pass</w:t>
            </w:r>
          </w:p>
        </w:tc>
      </w:tr>
      <w:tr>
        <w:trPr>
          <w:cantSplit/>
        </w:trPr>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Automation bias</w:t>
            </w:r>
          </w:p>
        </w:tc>
        <w:tc>
          <w:tcPr>
            <w:tcW w:type="dxa" w:w="331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Operators accept despite source conflict</w:t>
            </w:r>
          </w:p>
        </w:tc>
        <w:tc>
          <w:tcPr>
            <w:tcW w:type="dxa" w:w="381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Source-first UI, critical checklist, QA sample and retraining</w:t>
            </w:r>
          </w:p>
        </w:tc>
      </w:tr>
      <w:tr>
        <w:trPr>
          <w:cantSplit/>
        </w:trPr>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Prompt injection</w:t>
            </w:r>
          </w:p>
        </w:tc>
        <w:tc>
          <w:tcPr>
            <w:tcW w:type="dxa" w:w="331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Input attempts policy/tool control</w:t>
            </w:r>
          </w:p>
        </w:tc>
        <w:tc>
          <w:tcPr>
            <w:tcW w:type="dxa" w:w="381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Isolate content, typed tools, deny and incident review</w:t>
            </w:r>
          </w:p>
        </w:tc>
      </w:tr>
      <w:tr>
        <w:trPr>
          <w:cantSplit/>
        </w:trPr>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WhatsApp/residency conflict</w:t>
            </w:r>
          </w:p>
        </w:tc>
        <w:tc>
          <w:tcPr>
            <w:tcW w:type="dxa" w:w="331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Provider path or retention unclear</w:t>
            </w:r>
          </w:p>
        </w:tc>
        <w:tc>
          <w:tcPr>
            <w:tcW w:type="dxa" w:w="381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Keep real-client feature off until OPEN-6/13 close</w:t>
            </w:r>
          </w:p>
        </w:tc>
      </w:tr>
      <w:tr>
        <w:trPr>
          <w:cantSplit/>
        </w:trPr>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Buyer relationship harm</w:t>
            </w:r>
          </w:p>
        </w:tc>
        <w:tc>
          <w:tcPr>
            <w:tcW w:type="dxa" w:w="331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Opt-outs, complaints or falling confirmation</w:t>
            </w:r>
          </w:p>
        </w:tc>
        <w:tc>
          <w:tcPr>
            <w:tcW w:type="dxa" w:w="381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Pause campaign, reduce cadence, return to manual</w:t>
            </w:r>
          </w:p>
        </w:tc>
      </w:tr>
      <w:tr>
        <w:trPr>
          <w:cantSplit/>
        </w:trPr>
        <w:tc>
          <w:tcPr>
            <w:tcW w:type="dxa" w:w="223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R1 scope creep</w:t>
            </w:r>
          </w:p>
        </w:tc>
        <w:tc>
          <w:tcPr>
            <w:tcW w:type="dxa" w:w="331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Clerk displaces core submission or console work</w:t>
            </w:r>
          </w:p>
        </w:tc>
        <w:tc>
          <w:tcPr>
            <w:tcW w:type="dxa" w:w="381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Pause C0/C1; main release has precedence</w:t>
            </w:r>
          </w:p>
        </w:tc>
      </w:tr>
      <w:tr>
        <w:trPr>
          <w:cantSplit/>
        </w:trPr>
        <w:tc>
          <w:tcPr>
            <w:tcW w:type="dxa" w:w="223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False margin story</w:t>
            </w:r>
          </w:p>
        </w:tc>
        <w:tc>
          <w:tcPr>
            <w:tcW w:type="dxa" w:w="331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Ratio rises only through SLA or wellbeing breach</w:t>
            </w:r>
          </w:p>
        </w:tc>
        <w:tc>
          <w:tcPr>
            <w:tcW w:type="dxa" w:w="381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Do not update model; step back to last proven load band</w:t>
            </w:r>
          </w:p>
        </w:tc>
      </w:tr>
    </w:tbl>
    <w:p>
      <w:pPr>
        <w:spacing w:after="0"/>
      </w:pPr>
    </w:p>
    <w:p>
      <w:pPr>
        <w:pStyle w:val="Heading2"/>
        <w:keepNext/>
      </w:pPr>
      <w:r>
        <w:t>8.1 Hard stop</w:t>
      </w:r>
    </w:p>
    <w:tbl>
      <w:tblPr>
        <w:tblW w:type="dxa" w:w="9360"/>
        <w:jc w:val="left"/>
        <w:tblLayout w:type="fixed"/>
        <w:tblLook w:firstColumn="1" w:firstRow="1" w:lastColumn="0" w:lastRow="0" w:noHBand="0" w:noVBand="1" w:val="04A0"/>
        <w:tblInd w:type="dxa" w:w="120"/>
      </w:tblPr>
      <w:tblGrid>
        <w:gridCol w:w="9360"/>
      </w:tblGrid>
      <w:tr>
        <w:trPr/>
        <w:tc>
          <w:tcPr>
            <w:tcW w:type="dxa" w:w="9360"/>
            <w:shd w:fill="FBEAEA" w:val="clear"/>
            <w:tcBorders>
              <w:top w:val="single" w:sz="2" w:space="0" w:color="FBEAEA"/>
              <w:left w:val="single" w:sz="2" w:space="0" w:color="FBEAEA"/>
              <w:bottom w:val="single" w:sz="2" w:space="0" w:color="FBEAEA"/>
              <w:right w:val="single" w:sz="2" w:space="0" w:color="FBEAEA"/>
              <w:insideH w:val="single" w:sz="2" w:space="0" w:color="FBEAEA"/>
              <w:insideV w:val="single" w:sz="2" w:space="0" w:color="FBEAEA"/>
            </w:tcBorders>
            <w:tcMar>
              <w:top w:w="80" w:type="dxa"/>
              <w:bottom w:w="80" w:type="dxa"/>
              <w:start w:w="120" w:type="dxa"/>
              <w:end w:w="120" w:type="dxa"/>
            </w:tcMar>
          </w:tcPr>
          <w:p>
            <w:pPr>
              <w:spacing w:after="0"/>
            </w:pPr>
            <w:r>
              <w:rPr>
                <w:rFonts w:ascii="Calibri" w:hAnsi="Calibri"/>
                <w:b/>
                <w:color w:val="9B1C1C"/>
                <w:sz w:val="21"/>
              </w:rPr>
              <w:t xml:space="preserve">DISABLE IMMEDIATELY: </w:t>
            </w:r>
            <w:r>
              <w:rPr>
                <w:rFonts w:ascii="Calibri" w:hAnsi="Calibri"/>
                <w:color w:val="111827"/>
                <w:sz w:val="21"/>
              </w:rPr>
              <w:t>Unsupported binding fact, wrong protected value/citation, unapproved submission, Clerk-caused penalty, cross-tenant disclosure, prohibited offshore processing, data-bearing outbound message, active prompt-injection exploit or unavailable manual fallback.</w:t>
            </w:r>
          </w:p>
        </w:tc>
      </w:tr>
    </w:tbl>
    <w:p>
      <w:pPr>
        <w:spacing w:after="0"/>
      </w:pPr>
    </w:p>
    <w:p>
      <w:pPr>
        <w:pStyle w:val="Heading1"/>
        <w:keepNext/>
      </w:pPr>
      <w:r>
        <w:t>9. Governance and change control</w:t>
      </w:r>
    </w:p>
    <w:p>
      <w:pPr>
        <w:spacing w:after="120" w:line="300" w:lineRule="auto"/>
      </w:pPr>
      <w:r>
        <w:rPr>
          <w:rFonts w:ascii="Calibri" w:hAnsi="Calibri"/>
          <w:i w:val="0"/>
          <w:color w:val="111827"/>
        </w:rPr>
        <w:t>A monthly Clerk Readiness Review governs the workstream. Product, Engineering, Compliance Desk, Tax/Legal, Security/DPO, QA and—when relevant—Partner Success attend. Commercial urgency cannot waive a safety or release gate.</w:t>
      </w:r>
    </w:p>
    <w:p>
      <w:pPr>
        <w:pStyle w:val="Heading2"/>
        <w:keepNext/>
      </w:pPr>
      <w:r>
        <w:t>9.1 Standing decisions</w:t>
      </w:r>
    </w:p>
    <w:p>
      <w:pPr>
        <w:pStyle w:val="ListBullet"/>
      </w:pPr>
      <w:r>
        <w:rPr>
          <w:rFonts w:ascii="Calibri" w:hAnsi="Calibri"/>
          <w:color w:val="111827"/>
          <w:sz w:val="22"/>
        </w:rPr>
        <w:t>Supported intents, transaction classes, languages and client/buyer cohorts.</w:t>
      </w:r>
    </w:p>
    <w:p>
      <w:pPr>
        <w:pStyle w:val="ListBullet"/>
      </w:pPr>
      <w:r>
        <w:rPr>
          <w:rFonts w:ascii="Calibri" w:hAnsi="Calibri"/>
          <w:color w:val="111827"/>
          <w:sz w:val="22"/>
        </w:rPr>
        <w:t>Claim-register ownership, source changes, emergency suspension and approved external wording.</w:t>
      </w:r>
    </w:p>
    <w:p>
      <w:pPr>
        <w:pStyle w:val="ListBullet"/>
      </w:pPr>
      <w:r>
        <w:rPr>
          <w:rFonts w:ascii="Calibri" w:hAnsi="Calibri"/>
          <w:color w:val="111827"/>
          <w:sz w:val="22"/>
        </w:rPr>
        <w:t>Model, OCR/ASR, prompt, retrieval, policy, schema, glossary and provider versions.</w:t>
      </w:r>
    </w:p>
    <w:p>
      <w:pPr>
        <w:pStyle w:val="ListBullet"/>
      </w:pPr>
      <w:r>
        <w:rPr>
          <w:rFonts w:ascii="Calibri" w:hAnsi="Calibri"/>
          <w:color w:val="111827"/>
          <w:sz w:val="22"/>
        </w:rPr>
        <w:t>Evaluation results, pilot cohort expansion, operator load band and cost-per-case.</w:t>
      </w:r>
    </w:p>
    <w:p>
      <w:pPr>
        <w:pStyle w:val="ListBullet"/>
      </w:pPr>
      <w:r>
        <w:rPr>
          <w:rFonts w:ascii="Calibri" w:hAnsi="Calibri"/>
          <w:color w:val="111827"/>
          <w:sz w:val="22"/>
        </w:rPr>
        <w:t>Incidents, complaints, drift, rollbacks, manual fallback and remediation evidence.</w:t>
      </w:r>
    </w:p>
    <w:p>
      <w:pPr>
        <w:pStyle w:val="Heading2"/>
        <w:keepNext/>
      </w:pPr>
      <w:r>
        <w:t>9.2 Change rules</w:t>
      </w:r>
    </w:p>
    <w:p>
      <w:pPr>
        <w:pStyle w:val="ListNumber"/>
        <w:numPr>
          <w:ilvl w:val="0"/>
          <w:numId w:val="10"/>
        </w:numPr>
      </w:pPr>
      <w:r>
        <w:rPr>
          <w:rFonts w:ascii="Calibri" w:hAnsi="Calibri"/>
          <w:color w:val="111827"/>
          <w:sz w:val="22"/>
        </w:rPr>
        <w:t>Any new supported compliance intent requires a ClaimRecord set, evaluation cases, operator playbook and approval owner.</w:t>
      </w:r>
    </w:p>
    <w:p>
      <w:pPr>
        <w:pStyle w:val="ListNumber"/>
        <w:numPr>
          <w:ilvl w:val="0"/>
          <w:numId w:val="10"/>
        </w:numPr>
      </w:pPr>
      <w:r>
        <w:rPr>
          <w:rFonts w:ascii="Calibri" w:hAnsi="Calibri"/>
          <w:color w:val="111827"/>
          <w:sz w:val="22"/>
        </w:rPr>
        <w:t>Any new language requires an independent local benchmark, approved glossary/templates and trained review capacity.</w:t>
      </w:r>
    </w:p>
    <w:p>
      <w:pPr>
        <w:pStyle w:val="ListNumber"/>
        <w:numPr>
          <w:ilvl w:val="0"/>
          <w:numId w:val="10"/>
        </w:numPr>
      </w:pPr>
      <w:r>
        <w:rPr>
          <w:rFonts w:ascii="Calibri" w:hAnsi="Calibri"/>
          <w:color w:val="111827"/>
          <w:sz w:val="22"/>
        </w:rPr>
        <w:t>Any new model or provider requires residency, DPA, no-training, security, performance, cost and regression evidence.</w:t>
      </w:r>
    </w:p>
    <w:p>
      <w:pPr>
        <w:pStyle w:val="ListNumber"/>
        <w:numPr>
          <w:ilvl w:val="0"/>
          <w:numId w:val="10"/>
        </w:numPr>
      </w:pPr>
      <w:r>
        <w:rPr>
          <w:rFonts w:ascii="Calibri" w:hAnsi="Calibri"/>
          <w:color w:val="111827"/>
          <w:sz w:val="22"/>
        </w:rPr>
        <w:t>Any relaxation of human approval, SEC-12, consent, residency or credit boundaries requires main-document change control; this supplement cannot approve it alone.</w:t>
      </w:r>
    </w:p>
    <w:p>
      <w:pPr>
        <w:pStyle w:val="ListNumber"/>
        <w:numPr>
          <w:ilvl w:val="0"/>
          <w:numId w:val="10"/>
        </w:numPr>
      </w:pPr>
      <w:r>
        <w:rPr>
          <w:rFonts w:ascii="Calibri" w:hAnsi="Calibri"/>
          <w:color w:val="111827"/>
          <w:sz w:val="22"/>
        </w:rPr>
        <w:t>Any operator-ratio or margin change enters the financial model only after sustained production evidence and approved per-tier economics.</w:t>
      </w:r>
    </w:p>
    <w:p>
      <w:r>
        <w:br w:type="page"/>
      </w:r>
    </w:p>
    <w:p>
      <w:pPr>
        <w:pStyle w:val="Heading1"/>
        <w:keepNext/>
      </w:pPr>
      <w:r>
        <w:t>Appendix A — Traceability to the main roadmap</w:t>
      </w:r>
    </w:p>
    <w:tbl>
      <w:tblPr>
        <w:tblW w:type="dxa" w:w="9360"/>
        <w:jc w:val="left"/>
        <w:tblLayout w:type="fixed"/>
        <w:tblLook w:firstColumn="1" w:firstRow="1" w:lastColumn="0" w:lastRow="0" w:noHBand="0" w:noVBand="1" w:val="04A0"/>
        <w:tblInd w:type="dxa" w:w="120"/>
      </w:tblPr>
      <w:tblGrid>
        <w:gridCol w:w="1080"/>
        <w:gridCol w:w="1872"/>
        <w:gridCol w:w="4680"/>
        <w:gridCol w:w="1728"/>
      </w:tblGrid>
      <w:tr>
        <w:trPr>
          <w:tblHeader w:val="true"/>
        </w:trPr>
        <w:tc>
          <w:tcPr>
            <w:tcW w:type="dxa" w:w="1080"/>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Clerk phase</w:t>
            </w:r>
          </w:p>
        </w:tc>
        <w:tc>
          <w:tcPr>
            <w:tcW w:type="dxa" w:w="1872"/>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Main release</w:t>
            </w:r>
          </w:p>
        </w:tc>
        <w:tc>
          <w:tcPr>
            <w:tcW w:type="dxa" w:w="4680"/>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Main item absorbed or supported</w:t>
            </w:r>
          </w:p>
        </w:tc>
        <w:tc>
          <w:tcPr>
            <w:tcW w:type="dxa" w:w="1728"/>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Does not unlock</w:t>
            </w:r>
          </w:p>
        </w:tc>
      </w:tr>
      <w:tr>
        <w:trPr>
          <w:cantSplit/>
        </w:trPr>
        <w:tc>
          <w:tcPr>
            <w:tcW w:type="dxa" w:w="10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C0</w:t>
            </w:r>
          </w:p>
        </w:tc>
        <w:tc>
          <w:tcPr>
            <w:tcW w:type="dxa" w:w="187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R0 Field Kit</w:t>
            </w:r>
          </w:p>
        </w:tc>
        <w:tc>
          <w:tcPr>
            <w:tcW w:type="dxa" w:w="46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Error catalogue, data spine, claims governance, operator instrumentation</w:t>
            </w:r>
          </w:p>
        </w:tc>
        <w:tc>
          <w:tcPr>
            <w:tcW w:type="dxa" w:w="172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R1 platform gate</w:t>
            </w:r>
          </w:p>
        </w:tc>
      </w:tr>
      <w:tr>
        <w:trPr>
          <w:cantSplit/>
        </w:trPr>
        <w:tc>
          <w:tcPr>
            <w:tcW w:type="dxa" w:w="108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C1</w:t>
            </w:r>
          </w:p>
        </w:tc>
        <w:tc>
          <w:tcPr>
            <w:tcW w:type="dxa" w:w="187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R1 Compliance MVP</w:t>
            </w:r>
          </w:p>
        </w:tc>
        <w:tc>
          <w:tcPr>
            <w:tcW w:type="dxa" w:w="468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Compliance Desk queue, playbook prompts, handling-time evidence</w:t>
            </w:r>
          </w:p>
        </w:tc>
        <w:tc>
          <w:tcPr>
            <w:tcW w:type="dxa" w:w="172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Client-visible AI or R2</w:t>
            </w:r>
          </w:p>
        </w:tc>
      </w:tr>
      <w:tr>
        <w:trPr>
          <w:cantSplit/>
        </w:trPr>
        <w:tc>
          <w:tcPr>
            <w:tcW w:type="dxa" w:w="10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C2</w:t>
            </w:r>
          </w:p>
        </w:tc>
        <w:tc>
          <w:tcPr>
            <w:tcW w:type="dxa" w:w="187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Late R1 / R2 candidate</w:t>
            </w:r>
          </w:p>
        </w:tc>
        <w:tc>
          <w:tcPr>
            <w:tcW w:type="dxa" w:w="46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Service-wrapped software and safe inbound beta</w:t>
            </w:r>
          </w:p>
        </w:tc>
        <w:tc>
          <w:tcPr>
            <w:tcW w:type="dxa" w:w="172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Buyer Rails or credit</w:t>
            </w:r>
          </w:p>
        </w:tc>
      </w:tr>
      <w:tr>
        <w:trPr>
          <w:cantSplit/>
        </w:trPr>
        <w:tc>
          <w:tcPr>
            <w:tcW w:type="dxa" w:w="108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C3</w:t>
            </w:r>
          </w:p>
        </w:tc>
        <w:tc>
          <w:tcPr>
            <w:tcW w:type="dxa" w:w="187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R2 Channel Scale + Buyer Rails</w:t>
            </w:r>
          </w:p>
        </w:tc>
        <w:tc>
          <w:tcPr>
            <w:tcW w:type="dxa" w:w="468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AI failure explainer candidate; white-label; BR-02 reminders</w:t>
            </w:r>
          </w:p>
        </w:tc>
        <w:tc>
          <w:tcPr>
            <w:tcW w:type="dxa" w:w="172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R3 data layer or financing</w:t>
            </w:r>
          </w:p>
        </w:tc>
      </w:tr>
      <w:tr>
        <w:trPr>
          <w:cantSplit/>
        </w:trPr>
        <w:tc>
          <w:tcPr>
            <w:tcW w:type="dxa" w:w="10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C4</w:t>
            </w:r>
          </w:p>
        </w:tc>
        <w:tc>
          <w:tcPr>
            <w:tcW w:type="dxa" w:w="1872"/>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R3 Credit Data Layer</w:t>
            </w:r>
          </w:p>
        </w:tc>
        <w:tc>
          <w:tcPr>
            <w:tcW w:type="dxa" w:w="4680"/>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Evidence quality and ProofGraph substrate</w:t>
            </w:r>
          </w:p>
        </w:tc>
        <w:tc>
          <w:tcPr>
            <w:tcW w:type="dxa" w:w="1728"/>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Credit decision, offer or pricing</w:t>
            </w:r>
          </w:p>
        </w:tc>
      </w:tr>
      <w:tr>
        <w:trPr>
          <w:cantSplit/>
        </w:trPr>
        <w:tc>
          <w:tcPr>
            <w:tcW w:type="dxa" w:w="108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C5</w:t>
            </w:r>
          </w:p>
        </w:tc>
        <w:tc>
          <w:tcPr>
            <w:tcW w:type="dxa" w:w="1872"/>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R4–R5</w:t>
            </w:r>
          </w:p>
        </w:tc>
        <w:tc>
          <w:tcPr>
            <w:tcW w:type="dxa" w:w="4680"/>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Hardening, partner API and approved workflow assistance</w:t>
            </w:r>
          </w:p>
        </w:tc>
        <w:tc>
          <w:tcPr>
            <w:tcW w:type="dxa" w:w="1728"/>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Bank-owned approval or funds movement</w:t>
            </w:r>
          </w:p>
        </w:tc>
      </w:tr>
    </w:tbl>
    <w:p>
      <w:pPr>
        <w:spacing w:after="0"/>
      </w:pPr>
    </w:p>
    <w:p>
      <w:pPr>
        <w:pStyle w:val="Heading1"/>
        <w:keepNext/>
      </w:pPr>
      <w:r>
        <w:t>Appendix B — Operating definitions</w:t>
      </w:r>
    </w:p>
    <w:tbl>
      <w:tblPr>
        <w:tblW w:type="dxa" w:w="9360"/>
        <w:jc w:val="left"/>
        <w:tblLayout w:type="fixed"/>
        <w:tblLook w:firstColumn="1" w:firstRow="1" w:lastColumn="0" w:lastRow="0" w:noHBand="0" w:noVBand="1" w:val="04A0"/>
        <w:tblInd w:type="dxa" w:w="120"/>
      </w:tblPr>
      <w:tblGrid>
        <w:gridCol w:w="2376"/>
        <w:gridCol w:w="6984"/>
      </w:tblGrid>
      <w:tr>
        <w:trPr>
          <w:tblHeader w:val="true"/>
        </w:trPr>
        <w:tc>
          <w:tcPr>
            <w:tcW w:type="dxa" w:w="2376"/>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Term</w:t>
            </w:r>
          </w:p>
        </w:tc>
        <w:tc>
          <w:tcPr>
            <w:tcW w:type="dxa" w:w="6984"/>
            <w:shd w:fill="E8EEF5" w:val="clear"/>
            <w:tcBorders>
              <w:top w:val="single" w:sz="4" w:space="0" w:color="B8C2CC"/>
              <w:left w:val="single" w:sz="4" w:space="0" w:color="B8C2CC"/>
              <w:bottom w:val="single" w:sz="4" w:space="0" w:color="B8C2CC"/>
              <w:right w:val="single" w:sz="4" w:space="0" w:color="B8C2CC"/>
              <w:insideH w:val="single" w:sz="4" w:space="0" w:color="B8C2CC"/>
              <w:insideV w:val="single" w:sz="4" w:space="0" w:color="B8C2CC"/>
            </w:tcBorders>
            <w:vAlign w:val="center"/>
            <w:tcMar>
              <w:top w:w="80" w:type="dxa"/>
              <w:bottom w:w="80" w:type="dxa"/>
              <w:start w:w="120" w:type="dxa"/>
              <w:end w:w="120" w:type="dxa"/>
            </w:tcMar>
          </w:tcPr>
          <w:p>
            <w:pPr>
              <w:spacing w:after="0"/>
            </w:pPr>
            <w:r>
              <w:rPr>
                <w:rFonts w:ascii="Calibri" w:hAnsi="Calibri"/>
                <w:b/>
                <w:color w:val="0B2545"/>
                <w:sz w:val="18"/>
              </w:rPr>
              <w:t>Definition</w:t>
            </w:r>
          </w:p>
        </w:tc>
      </w:tr>
      <w:tr>
        <w:trPr>
          <w:cantSplit/>
        </w:trPr>
        <w:tc>
          <w:tcPr>
            <w:tcW w:type="dxa" w:w="237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Binding compliance fact</w:t>
            </w:r>
          </w:p>
        </w:tc>
        <w:tc>
          <w:tcPr>
            <w:tcW w:type="dxa" w:w="698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An amount, threshold, deadline, statutory reference or scoped proposition that a reasonable user may rely on for compliance action.</w:t>
            </w:r>
          </w:p>
        </w:tc>
      </w:tr>
      <w:tr>
        <w:trPr>
          <w:cantSplit/>
        </w:trPr>
        <w:tc>
          <w:tcPr>
            <w:tcW w:type="dxa" w:w="237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Active ClaimRecord</w:t>
            </w:r>
          </w:p>
        </w:tc>
        <w:tc>
          <w:tcPr>
            <w:tcW w:type="dxa" w:w="698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 currently applicable, counsel-approved and non-suspended version whose source, scope and review date pass runtime policy.</w:t>
            </w:r>
          </w:p>
        </w:tc>
      </w:tr>
      <w:tr>
        <w:trPr>
          <w:cantSplit/>
        </w:trPr>
        <w:tc>
          <w:tcPr>
            <w:tcW w:type="dxa" w:w="237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Protected field</w:t>
            </w:r>
          </w:p>
        </w:tc>
        <w:tc>
          <w:tcPr>
            <w:tcW w:type="dxa" w:w="698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 ClaimRecord value that application code inserts and the model cannot create or modify.</w:t>
            </w:r>
          </w:p>
        </w:tc>
      </w:tr>
      <w:tr>
        <w:trPr>
          <w:cantSplit/>
        </w:trPr>
        <w:tc>
          <w:tcPr>
            <w:tcW w:type="dxa" w:w="237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Critical invoice field</w:t>
            </w:r>
          </w:p>
        </w:tc>
        <w:tc>
          <w:tcPr>
            <w:tcW w:type="dxa" w:w="698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Party identity, TIN, invoice number/date, currency, totals, tax amount/rate, payment details or another policy-designated material field.</w:t>
            </w:r>
          </w:p>
        </w:tc>
      </w:tr>
      <w:tr>
        <w:trPr>
          <w:cantSplit/>
        </w:trPr>
        <w:tc>
          <w:tcPr>
            <w:tcW w:type="dxa" w:w="237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Shadow mode</w:t>
            </w:r>
          </w:p>
        </w:tc>
        <w:tc>
          <w:tcPr>
            <w:tcW w:type="dxa" w:w="698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Clerk processes an authorised copy and records recommendations, but operators and clients use the normal workflow; no Clerk output acts directly.</w:t>
            </w:r>
          </w:p>
        </w:tc>
      </w:tr>
      <w:tr>
        <w:trPr>
          <w:cantSplit/>
        </w:trPr>
        <w:tc>
          <w:tcPr>
            <w:tcW w:type="dxa" w:w="237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Human-approved</w:t>
            </w:r>
          </w:p>
        </w:tc>
        <w:tc>
          <w:tcPr>
            <w:tcW w:type="dxa" w:w="698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 named authorised actor reviews the source and proposed action and records an explicit decision under the relevant role/contract.</w:t>
            </w:r>
          </w:p>
        </w:tc>
      </w:tr>
      <w:tr>
        <w:trPr>
          <w:cantSplit/>
        </w:trPr>
        <w:tc>
          <w:tcPr>
            <w:tcW w:type="dxa" w:w="237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Credit-observable</w:t>
            </w:r>
          </w:p>
        </w:tc>
        <w:tc>
          <w:tcPr>
            <w:tcW w:type="dxa" w:w="698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Stamped invoices are flowing and at least some confirmation or settlement signals exist, consistent with the main Roadmap.</w:t>
            </w:r>
          </w:p>
        </w:tc>
      </w:tr>
      <w:tr>
        <w:trPr>
          <w:cantSplit/>
        </w:trPr>
        <w:tc>
          <w:tcPr>
            <w:tcW w:type="dxa" w:w="237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Credit-visible</w:t>
            </w:r>
          </w:p>
        </w:tc>
        <w:tc>
          <w:tcPr>
            <w:tcW w:type="dxa" w:w="698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At least six months of stamped, buyer-confirmed and settlement-observed history; the term does not itself mean eligible or financeable.</w:t>
            </w:r>
          </w:p>
        </w:tc>
      </w:tr>
      <w:tr>
        <w:trPr>
          <w:cantSplit/>
        </w:trPr>
        <w:tc>
          <w:tcPr>
            <w:tcW w:type="dxa" w:w="2376"/>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ProofGraph substrate</w:t>
            </w:r>
          </w:p>
        </w:tc>
        <w:tc>
          <w:tcPr>
            <w:tcW w:type="dxa" w:w="6984"/>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The provenance-linked evidence events produced by Clerk and the spine; it is not a credit score or autonomous decision system.</w:t>
            </w:r>
          </w:p>
        </w:tc>
      </w:tr>
      <w:tr>
        <w:trPr>
          <w:cantSplit/>
        </w:trPr>
        <w:tc>
          <w:tcPr>
            <w:tcW w:type="dxa" w:w="2376"/>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color w:val="111827"/>
                <w:sz w:val="16"/>
              </w:rPr>
              <w:t>Operator capacity</w:t>
            </w:r>
          </w:p>
        </w:tc>
        <w:tc>
          <w:tcPr>
            <w:tcW w:type="dxa" w:w="6984"/>
            <w:shd w:fill="F2F4F7" w:val="clear"/>
            <w:tcBorders>
              <w:top w:val="single" w:sz="3" w:space="0" w:color="C7CFD8"/>
              <w:left w:val="single" w:sz="3" w:space="0" w:color="C7CFD8"/>
              <w:bottom w:val="single" w:sz="3" w:space="0" w:color="C7CFD8"/>
              <w:right w:val="single" w:sz="3" w:space="0" w:color="C7CFD8"/>
              <w:insideH w:val="single" w:sz="3" w:space="0" w:color="C7CFD8"/>
              <w:insideV w:val="single" w:sz="3" w:space="0" w:color="C7CFD8"/>
            </w:tcBorders>
            <w:vAlign w:val="center"/>
            <w:tcMar>
              <w:top w:w="80" w:type="dxa"/>
              <w:bottom w:w="80" w:type="dxa"/>
              <w:start w:w="120" w:type="dxa"/>
              <w:end w:w="120" w:type="dxa"/>
            </w:tcMar>
          </w:tcPr>
          <w:p>
            <w:pPr>
              <w:spacing w:after="0" w:line="252" w:lineRule="auto"/>
            </w:pPr>
            <w:r>
              <w:rPr>
                <w:rFonts w:ascii="Calibri" w:hAnsi="Calibri"/>
                <w:b w:val="0"/>
                <w:color w:val="111827"/>
                <w:sz w:val="16"/>
              </w:rPr>
              <w:t>Desk clients per operator sustained at approved accuracy, SLA, cost and staff-wellbeing levels—not a theoretical maximum.</w:t>
            </w:r>
          </w:p>
        </w:tc>
      </w:tr>
    </w:tbl>
    <w:p>
      <w:pPr>
        <w:spacing w:after="0"/>
      </w:pPr>
    </w:p>
    <w:p>
      <w:pPr>
        <w:pStyle w:val="SourceNote"/>
      </w:pPr>
      <w:r>
        <w:t>Source basis: MeridianIQ Business Plan v3.2, Product Roadmap v1.1, Technical Requirements v1.1, Clerk Supplemental Technical Requirements v1.0 and the approved Clerk concept decision. Working thresholds require ratification by the Clerk Readiness Review before a live pilot.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68" w:val="left"/>
      </w:tabs>
      <w:spacing w:before="0"/>
    </w:pPr>
    <w:r>
      <w:rPr>
        <w:rFonts w:ascii="Calibri" w:hAnsi="Calibri"/>
        <w:color w:val="5B6777"/>
        <w:sz w:val="16"/>
      </w:rPr>
      <w:t>CONFIDENTIAL - INTERNAL EXECUTION AND REVIEW</w:t>
    </w:r>
    <w:r>
      <w:rPr>
        <w:rFonts w:ascii="Calibri" w:hAnsi="Calibri"/>
        <w:color w:val="5B6777"/>
        <w:sz w:val="17"/>
      </w:rPr>
      <w:tab/>
      <w:t xml:space="preserve">Page </w:t>
    </w:r>
    <w:r>
      <w:rPr>
        <w:rFonts w:ascii="Calibri" w:hAnsi="Calibri"/>
        <w:color w:val="5B6777"/>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B6777"/>
        <w:sz w:val="17"/>
      </w:rPr>
      <w:t>MERIDIANIQ | CLERK SUPPLEMENTAL ROADMAP</w:t>
    </w:r>
    <w:r>
      <w:rPr>
        <w:rFonts w:ascii="Calibri" w:hAnsi="Calibri"/>
        <w:color w:val="5B6777"/>
        <w:sz w:val="17"/>
      </w:rPr>
      <w:tab/>
      <w:t>WORKING DRAFT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val="0"/>
      <w:iCs/>
      <w:color w:val="5B6777"/>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color w:val="5B6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Clerk Supplemental Roadmap</dc:title>
  <dc:subject>MeridianIQ execution document pack</dc:subject>
  <dc:creator>MeridianIQ</dc:creator>
  <cp:keywords>MeridianIQ, e-invoicing, compliance, receivables, Nigeria</cp:keywords>
  <dc:description>generated by python-docx</dc:description>
  <cp:lastModifiedBy/>
  <cp:revision>1</cp:revision>
  <dcterms:created xsi:type="dcterms:W3CDTF">2013-12-23T23:15:00Z</dcterms:created>
  <dcterms:modified xsi:type="dcterms:W3CDTF">2013-12-23T23:15:00Z</dcterms:modified>
  <cp:category/>
</cp:coreProperties>
</file>