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color w:val="2E74B5"/>
          <w:sz w:val="19"/>
        </w:rPr>
        <w:t>MERIDIANIQ EXECUTION PACK</w:t>
      </w:r>
    </w:p>
    <w:p>
      <w:pPr>
        <w:pStyle w:val="Title"/>
      </w:pPr>
      <w:r>
        <w:t>Clerk Supplemental Technical Requirements</w:t>
      </w:r>
    </w:p>
    <w:p>
      <w:pPr>
        <w:pStyle w:val="Subtitle"/>
      </w:pPr>
      <w:r>
        <w:t>Controlled AI compliance operator — supplement to MeridianIQ Technical Requirements v1.1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DD" w:val="clear"/>
            <w:tcBorders>
              <w:top w:val="single" w:sz="2" w:space="0" w:color="FFF4DD"/>
              <w:left w:val="single" w:sz="2" w:space="0" w:color="FFF4DD"/>
              <w:bottom w:val="single" w:sz="2" w:space="0" w:color="FFF4DD"/>
              <w:right w:val="single" w:sz="2" w:space="0" w:color="FFF4DD"/>
              <w:insideH w:val="single" w:sz="2" w:space="0" w:color="FFF4DD"/>
              <w:insideV w:val="single" w:sz="2" w:space="0" w:color="FFF4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STATUS: </w:t>
            </w:r>
            <w:r>
              <w:rPr>
                <w:rFonts w:ascii="Calibri" w:hAnsi="Calibri"/>
                <w:color w:val="111827"/>
                <w:sz w:val="21"/>
              </w:rPr>
              <w:t>Working implementation specification. The main Business Plan v3.2, Product Roadmap v1.1 and TRD v1.1 prevail on conflict. This supplement does not unlock a release or relax any legal, consent, residency, messaging, submission or credit gate.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Document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MeridianIQ Clerk Supplemental Technical Requirements</w:t>
            </w:r>
          </w:p>
        </w:tc>
      </w:tr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Version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1.0 — July 2026</w:t>
            </w:r>
          </w:p>
        </w:tc>
      </w:tr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Working draft for Product, Engineering, Desk Operations, Tax, Counsel and DPO review</w:t>
            </w:r>
          </w:p>
        </w:tc>
      </w:tr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Parent documents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Business Plan v3.2; Product Roadmap v1.1; Technical Requirements v1.1</w:t>
            </w:r>
          </w:p>
        </w:tc>
      </w:tr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Primary release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R2 candidate; R0–R1 foundation and shadow work only</w:t>
            </w:r>
          </w:p>
        </w:tc>
      </w:tr>
      <w:tr>
        <w:trPr/>
        <w:tc>
          <w:tcPr>
            <w:tcW w:type="dxa" w:w="1700"/>
            <w:vAlign w:val="center"/>
            <w:shd w:fill="E8EEF5" w:val="clea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Owners</w:t>
            </w:r>
          </w:p>
        </w:tc>
        <w:tc>
          <w:tcPr>
            <w:tcW w:type="dxa" w:w="7660"/>
            <w:vAlign w:val="center"/>
            <w:tcBorders>
              <w:top w:val="single" w:sz="3" w:space="0" w:color="D5DCE5"/>
              <w:left w:val="single" w:sz="3" w:space="0" w:color="D5DCE5"/>
              <w:bottom w:val="single" w:sz="3" w:space="0" w:color="D5DCE5"/>
              <w:right w:val="single" w:sz="3" w:space="0" w:color="D5DCE5"/>
              <w:insideH w:val="single" w:sz="3" w:space="0" w:color="D5DCE5"/>
              <w:insideV w:val="single" w:sz="3" w:space="0" w:color="D5DC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9"/>
              </w:rPr>
              <w:t>Product Lead, CTO, Tax Lead, Compliance Desk Lead, DPO and Counsel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7F4EE" w:val="clear"/>
            <w:tcBorders>
              <w:top w:val="single" w:sz="2" w:space="0" w:color="E7F4EE"/>
              <w:left w:val="single" w:sz="2" w:space="0" w:color="E7F4EE"/>
              <w:bottom w:val="single" w:sz="2" w:space="0" w:color="E7F4EE"/>
              <w:right w:val="single" w:sz="2" w:space="0" w:color="E7F4EE"/>
              <w:insideH w:val="single" w:sz="2" w:space="0" w:color="E7F4EE"/>
              <w:insideV w:val="single" w:sz="2" w:space="0" w:color="E7F4E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725C"/>
                <w:sz w:val="21"/>
              </w:rPr>
              <w:t xml:space="preserve">CONTROL PROMISE: </w:t>
            </w:r>
            <w:r>
              <w:rPr>
                <w:rFonts w:ascii="Calibri" w:hAnsi="Calibri"/>
                <w:color w:val="111827"/>
                <w:sz w:val="21"/>
              </w:rPr>
              <w:t>Clerk never states a binding compliance fact unless application code assembles that fact from an active, applicable and counsel-approved ClaimRecord. No matching record means refusal and human escalation.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1. Purpose, hierarchy and scope</w:t>
      </w:r>
      <w:r>
        <w:rPr>
          <w:rFonts w:ascii="Calibri" w:hAnsi="Calibri"/>
          <w:color w:val="111827"/>
          <w:sz w:val="21"/>
        </w:rPr>
        <w:t xml:space="preserve"> — what this supplement controls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2. Inherited constraints and non-negotiables</w:t>
      </w:r>
      <w:r>
        <w:rPr>
          <w:rFonts w:ascii="Calibri" w:hAnsi="Calibri"/>
          <w:color w:val="111827"/>
          <w:sz w:val="21"/>
        </w:rPr>
        <w:t xml:space="preserve"> — boundaries that Clerk cannot bypass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3. Personas, intents and action classes</w:t>
      </w:r>
      <w:r>
        <w:rPr>
          <w:rFonts w:ascii="Calibri" w:hAnsi="Calibri"/>
          <w:color w:val="111827"/>
          <w:sz w:val="21"/>
        </w:rPr>
        <w:t xml:space="preserve"> — who uses Clerk and what it may do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4. Logical architecture</w:t>
      </w:r>
      <w:r>
        <w:rPr>
          <w:rFonts w:ascii="Calibri" w:hAnsi="Calibri"/>
          <w:color w:val="111827"/>
          <w:sz w:val="21"/>
        </w:rPr>
        <w:t xml:space="preserve"> — bounded workflow, services and trust boundaries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5. Data model and information lifecycle</w:t>
      </w:r>
      <w:r>
        <w:rPr>
          <w:rFonts w:ascii="Calibri" w:hAnsi="Calibri"/>
          <w:color w:val="111827"/>
          <w:sz w:val="21"/>
        </w:rPr>
        <w:t xml:space="preserve"> — new records, classification and retention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6. Capture and canonicalisation</w:t>
      </w:r>
      <w:r>
        <w:rPr>
          <w:rFonts w:ascii="Calibri" w:hAnsi="Calibri"/>
          <w:color w:val="111827"/>
          <w:sz w:val="21"/>
        </w:rPr>
        <w:t xml:space="preserve"> — image, file, text and voice intake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7. Claims register and error catalogue</w:t>
      </w:r>
      <w:r>
        <w:rPr>
          <w:rFonts w:ascii="Calibri" w:hAnsi="Calibri"/>
          <w:color w:val="111827"/>
          <w:sz w:val="21"/>
        </w:rPr>
        <w:t xml:space="preserve"> — approved knowledge and change control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8. AI orchestration and unsupported-claim controls</w:t>
      </w:r>
      <w:r>
        <w:rPr>
          <w:rFonts w:ascii="Calibri" w:hAnsi="Calibri"/>
          <w:color w:val="111827"/>
          <w:sz w:val="21"/>
        </w:rPr>
        <w:t xml:space="preserve"> — grounding, schemas and refusal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9. Human approval and Desk operations</w:t>
      </w:r>
      <w:r>
        <w:rPr>
          <w:rFonts w:ascii="Calibri" w:hAnsi="Calibri"/>
          <w:color w:val="111827"/>
          <w:sz w:val="21"/>
        </w:rPr>
        <w:t xml:space="preserve"> — review, authority and manual fallback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10. Messaging and buyer follow-up</w:t>
      </w:r>
      <w:r>
        <w:rPr>
          <w:rFonts w:ascii="Calibri" w:hAnsi="Calibri"/>
          <w:color w:val="111827"/>
          <w:sz w:val="21"/>
        </w:rPr>
        <w:t xml:space="preserve"> — WhatsApp boundary and confirmation reminders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11. Security, privacy and residency</w:t>
      </w:r>
      <w:r>
        <w:rPr>
          <w:rFonts w:ascii="Calibri" w:hAnsi="Calibri"/>
          <w:color w:val="111827"/>
          <w:sz w:val="21"/>
        </w:rPr>
        <w:t xml:space="preserve"> — C3 handling, DPIA and provider controls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12. Reliability, observability and evaluation</w:t>
      </w:r>
      <w:r>
        <w:rPr>
          <w:rFonts w:ascii="Calibri" w:hAnsi="Calibri"/>
          <w:color w:val="111827"/>
          <w:sz w:val="21"/>
        </w:rPr>
        <w:t xml:space="preserve"> — service levels, evidence and drift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13. Testing, release gates and kill conditions</w:t>
      </w:r>
      <w:r>
        <w:rPr>
          <w:rFonts w:ascii="Calibri" w:hAnsi="Calibri"/>
          <w:color w:val="111827"/>
          <w:sz w:val="21"/>
        </w:rPr>
        <w:t xml:space="preserve"> — proof required before expansion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14. Open decisions</w:t>
      </w:r>
      <w:r>
        <w:rPr>
          <w:rFonts w:ascii="Calibri" w:hAnsi="Calibri"/>
          <w:color w:val="111827"/>
          <w:sz w:val="21"/>
        </w:rPr>
        <w:t xml:space="preserve"> — questions that block production capability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A–D. Appendices</w:t>
      </w:r>
      <w:r>
        <w:rPr>
          <w:rFonts w:ascii="Calibri" w:hAnsi="Calibri"/>
          <w:color w:val="111827"/>
          <w:sz w:val="21"/>
        </w:rPr>
        <w:t xml:space="preserve"> — state machines, events, permissions and traceability</w:t>
      </w:r>
    </w:p>
    <w:p>
      <w:r>
        <w:br w:type="page"/>
      </w:r>
    </w:p>
    <w:p>
      <w:pPr>
        <w:pStyle w:val="Heading1"/>
        <w:keepNext/>
      </w:pPr>
      <w:r>
        <w:t>1. Purpose, hierarchy and scope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This supplement turns the Clerk concept into buildable requirements without reopening the main MeridianIQ architecture or release sequence. Clerk is a capability within Compliance Desk operator tooling, the Accountant Console and, later, Buyer Rails. It is not a new pricing tier, a free-roaming agent or a separate AI platform.</w:t>
      </w:r>
    </w:p>
    <w:p>
      <w:pPr>
        <w:pStyle w:val="Heading2"/>
        <w:keepNext/>
      </w:pPr>
      <w:r>
        <w:t>1.1 Precedence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DD" w:val="clear"/>
            <w:tcBorders>
              <w:top w:val="single" w:sz="2" w:space="0" w:color="FFF4DD"/>
              <w:left w:val="single" w:sz="2" w:space="0" w:color="FFF4DD"/>
              <w:bottom w:val="single" w:sz="2" w:space="0" w:color="FFF4DD"/>
              <w:right w:val="single" w:sz="2" w:space="0" w:color="FFF4DD"/>
              <w:insideH w:val="single" w:sz="2" w:space="0" w:color="FFF4DD"/>
              <w:insideV w:val="single" w:sz="2" w:space="0" w:color="FFF4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PRECEDENCE: </w:t>
            </w:r>
            <w:r>
              <w:rPr>
                <w:rFonts w:ascii="Calibri" w:hAnsi="Calibri"/>
                <w:color w:val="111827"/>
                <w:sz w:val="21"/>
              </w:rPr>
              <w:t>Where this supplement conflicts with the main TRD or Roadmap, the main document controls unless the conflict is approved through MeridianIQ change control and reflected in both documents.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Product definition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Clerk is an AI-assisted compliance operator that converts authorised inbound material into a reviewable canonical invoice draft, explains supported failures through the governed error catalogue, renders approved compliance facts through deterministic claim objects, and escalates anything unsupported or ambiguous to a human.</w:t>
      </w:r>
    </w:p>
    <w:p>
      <w:pPr>
        <w:pStyle w:val="Heading2"/>
        <w:keepNext/>
      </w:pPr>
      <w:r>
        <w:t>1.3 In scope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Consented text, image, PDF and voice-note intake from approved PWA, Console and messaging surfaces.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OCR, transcription, language identification, field extraction and mapping to the versioned CORE-01 canonical data dictionary.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Secure clarification tasks, operator review, deterministic compliance answers and catalogue-grounded failure explanations.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Pointer-only deadline reminders and, after BR-02 is live, controlled buyer-confirmation follow-up.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Audit, evaluation, model/rule versioning, kill switches, manual fallback and cost-to-serve measurement.</w:t>
      </w:r>
    </w:p>
    <w:p>
      <w:pPr>
        <w:pStyle w:val="Heading2"/>
        <w:keepNext/>
      </w:pPr>
      <w:r>
        <w:t>1.4 Out of scope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Autonomous submission, payment execution, correction of stamped evidence, tax filing decisions or removal of human approval.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Open-web tax answers, unrestricted chat, unsourced legal interpretation or generation of penalties, thresholds, deadlines or citations.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Credit scoring, finance-readiness claims, financing terms, lending recommendations or any decision reserved to a bank.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Production training or model improvement using client data while Layer Two remains OFF.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Yoruba or other public language claims before a measured local-language gate passes.</w:t>
      </w:r>
    </w:p>
    <w:p>
      <w:pPr>
        <w:pStyle w:val="Heading2"/>
        <w:keepNext/>
      </w:pPr>
      <w:r>
        <w:t>1.5 Normative conventions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Requirements use Clerk prefixes and inherit the release tags R0–R5 from the main Roadmap. Must is mandatory, should is recommended and may is optional. A requirement marked [OPEN-n] cannot activate until the named decision closes. A field count such as 55 is version-specific; the controlling object is always the versioned CORE-01 canonical data dictionary and full mandatory field set.</w:t>
      </w:r>
    </w:p>
    <w:p>
      <w:pPr>
        <w:pStyle w:val="Heading1"/>
        <w:keepNext/>
      </w:pPr>
      <w:r>
        <w:t>2. Inherited constraints and non-negotiables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944"/>
        <w:gridCol w:w="5760"/>
      </w:tblGrid>
      <w:tr>
        <w:trPr>
          <w:tblHeader w:val="true"/>
        </w:trPr>
        <w:tc>
          <w:tcPr>
            <w:tcW w:type="dxa" w:w="165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Boundary</w:t>
            </w:r>
          </w:p>
        </w:tc>
        <w:tc>
          <w:tcPr>
            <w:tcW w:type="dxa" w:w="1944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Inherited source</w:t>
            </w:r>
          </w:p>
        </w:tc>
        <w:tc>
          <w:tcPr>
            <w:tcW w:type="dxa" w:w="576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Clerk consequence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Canonical truth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CORE-01/02</w:t>
            </w:r>
          </w:p>
        </w:tc>
        <w:tc>
          <w:tcPr>
            <w:tcW w:type="dxa" w:w="576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Clerk creates or amends a mutable draft; the authoritative spine begins through validation, submission and appended lifecycle events.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Consent and purpose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CORE-03; SEC-06/07</w:t>
            </w:r>
          </w:p>
        </w:tc>
        <w:tc>
          <w:tcPr>
            <w:tcW w:type="dxa" w:w="576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Permission is checked at capture, inference, operator review, messaging and any later model-improvement purpose.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Audit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CORE-05</w:t>
            </w:r>
          </w:p>
        </w:tc>
        <w:tc>
          <w:tcPr>
            <w:tcW w:type="dxa" w:w="576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Material events are append-only; restricted content is stored separately and represented in the audit by a hash/reference.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Operator authority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CON-04; role matrix</w:t>
            </w:r>
          </w:p>
        </w:tc>
        <w:tc>
          <w:tcPr>
            <w:tcW w:type="dxa" w:w="576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Clerk proposes; a named authorised human approves. A Desk operator acts only where the service contract grants authority.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Messaging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SEC-12; PL-04; INT-07</w:t>
            </w:r>
          </w:p>
        </w:tc>
        <w:tc>
          <w:tcPr>
            <w:tcW w:type="dxa" w:w="576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Outbound messages are pointers only: no invoice data, amounts, TINs, counterparties, attachments or binding answers in chat.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Residency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C4; SEC-08</w:t>
            </w:r>
          </w:p>
        </w:tc>
        <w:tc>
          <w:tcPr>
            <w:tcW w:type="dxa" w:w="576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Raw media, transcripts, prompts, embeddings, outputs, telemetry, backups and support access stay in approved Nigeria-resident paths unless OPEN-6 closes otherwise.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Buyer truth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BR-02/04</w:t>
            </w:r>
          </w:p>
        </w:tc>
        <w:tc>
          <w:tcPr>
            <w:tcW w:type="dxa" w:w="576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 stamp proves reporting status, not commercial truth. Confirmation and settlement remain separately attributed events.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Release gating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PL-02; Roadmap R2</w:t>
            </w:r>
          </w:p>
        </w:tc>
        <w:tc>
          <w:tcPr>
            <w:tcW w:type="dxa" w:w="576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Every capability is feature-flagged; production Clerk is an evidence-gated R2 candidate and can be disabled without blocking manual Desk service.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Four hard design rules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11827"/>
          <w:sz w:val="22"/>
        </w:rPr>
        <w:t>Binding facts are deterministic. The model may classify intent or simplify approved explanatory text, but application code inserts protected amounts, dates, thresholds and statutory references from active ClaimRecords.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11827"/>
          <w:sz w:val="22"/>
        </w:rPr>
        <w:t>The orchestrator is a bounded state machine. It calls only approved tenant-scoped tools and cannot browse the open web or improvise a new action.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11827"/>
          <w:sz w:val="22"/>
        </w:rPr>
        <w:t>Human approval is explicit. No Clerk identity or service account can call the submission action, mutate post-submission evidence or make a credit decision.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111827"/>
          <w:sz w:val="22"/>
        </w:rPr>
        <w:t>Uncertainty is a product state. Missing, conflicting, expired, unsupported or low-confidence inputs become clarification, review, refusal or escalation—not confident prose.</w:t>
      </w:r>
    </w:p>
    <w:p>
      <w:pPr>
        <w:pStyle w:val="Heading1"/>
        <w:keepNext/>
      </w:pPr>
      <w:r>
        <w:t>3. Personas, intents and action classes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536"/>
        <w:gridCol w:w="2880"/>
      </w:tblGrid>
      <w:tr>
        <w:trPr>
          <w:tblHeader w:val="true"/>
        </w:trPr>
        <w:tc>
          <w:tcPr>
            <w:tcW w:type="dxa" w:w="1944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Persona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Permitted job</w:t>
            </w:r>
          </w:p>
        </w:tc>
        <w:tc>
          <w:tcPr>
            <w:tcW w:type="dxa" w:w="288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 boundary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SME owner/bookkeeper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Send an invoice source, complete missing information and receive a secure status pointer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Identity, tenant and consent resolved; no submission without authorised approval</w:t>
            </w:r>
          </w:p>
        </w:tc>
      </w:tr>
      <w:tr>
        <w:trPr>
          <w:cantSplit/>
        </w:trPr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Accountant user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Review drafts and supported explanations across authorised clients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Firm/client scope visible in every view; no cross-client retrieval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Desk operator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Resolve cases faster using sources, confidence, playbooks and reason codes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Authority derives from contract and role; high-risk cases require escalation</w:t>
            </w:r>
          </w:p>
        </w:tc>
      </w:tr>
      <w:tr>
        <w:trPr>
          <w:cantSplit/>
        </w:trPr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Buyer representative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Receive a neutral reminder and confirm/query through Buyer Rails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invoice data in message; strong attribution inside authenticated surface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Tax Lead/Counsel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Create, approve, suspend and supersede claims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Maker-checker; author cannot approve own record</w:t>
            </w:r>
          </w:p>
        </w:tc>
      </w:tr>
      <w:tr>
        <w:trPr>
          <w:cantSplit/>
        </w:trPr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DPO/Security/QA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Approve data flows, inspect evidence, set gates and operate kill switches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Least privilege, full audit and independence from commercial pressure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Action classes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3816"/>
        <w:gridCol w:w="4032"/>
      </w:tblGrid>
      <w:tr>
        <w:trPr>
          <w:tblHeader w:val="true"/>
        </w:trPr>
        <w:tc>
          <w:tcPr>
            <w:tcW w:type="dxa" w:w="1512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Class</w:t>
            </w:r>
          </w:p>
        </w:tc>
        <w:tc>
          <w:tcPr>
            <w:tcW w:type="dxa" w:w="381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Examples</w:t>
            </w:r>
          </w:p>
        </w:tc>
        <w:tc>
          <w:tcPr>
            <w:tcW w:type="dxa" w:w="4032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Runtime policy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 — Deterministic</w:t>
            </w:r>
          </w:p>
        </w:tc>
        <w:tc>
          <w:tcPr>
            <w:tcW w:type="dxa" w:w="381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Protected facts, validation rules, permissions, claim status, lifecycle transitions</w:t>
            </w:r>
          </w:p>
        </w:tc>
        <w:tc>
          <w:tcPr>
            <w:tcW w:type="dxa" w:w="40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Application code only; exact values and active-source checks</w:t>
            </w:r>
          </w:p>
        </w:tc>
      </w:tr>
      <w:tr>
        <w:trPr>
          <w:cantSplit/>
        </w:trPr>
        <w:tc>
          <w:tcPr>
            <w:tcW w:type="dxa" w:w="151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 — AI-assisted</w:t>
            </w:r>
          </w:p>
        </w:tc>
        <w:tc>
          <w:tcPr>
            <w:tcW w:type="dxa" w:w="381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OCR, speech recognition, language/intent classification, field suggestions, summarisation</w:t>
            </w:r>
          </w:p>
        </w:tc>
        <w:tc>
          <w:tcPr>
            <w:tcW w:type="dxa" w:w="40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Typed output, confidence, evidence, tenant scope and review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H — Human-authorised</w:t>
            </w:r>
          </w:p>
        </w:tc>
        <w:tc>
          <w:tcPr>
            <w:tcW w:type="dxa" w:w="381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Draft correction, client clarification, submission approval, high-risk response</w:t>
            </w:r>
          </w:p>
        </w:tc>
        <w:tc>
          <w:tcPr>
            <w:tcW w:type="dxa" w:w="40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Named actor, reason code and before/after diff</w:t>
            </w:r>
          </w:p>
        </w:tc>
      </w:tr>
      <w:tr>
        <w:trPr>
          <w:cantSplit/>
        </w:trPr>
        <w:tc>
          <w:tcPr>
            <w:tcW w:type="dxa" w:w="151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 — Prohibited</w:t>
            </w:r>
          </w:p>
        </w:tc>
        <w:tc>
          <w:tcPr>
            <w:tcW w:type="dxa" w:w="381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Autonomous submission, open-web tax chat, credit decision, unapproved language, offshore C3 inference</w:t>
            </w:r>
          </w:p>
        </w:tc>
        <w:tc>
          <w:tcPr>
            <w:tcW w:type="dxa" w:w="40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 tool or permission exists; policy test must fail closed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Logical architecture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Clerk remains inside the modular monolith. An isolated Nigeria-resident inference worker may be deployed for compute or security isolation, but it communicates through a single MeridianIQ inference gateway and does not create a new product service estate.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4320"/>
        <w:gridCol w:w="4248"/>
      </w:tblGrid>
      <w:tr>
        <w:trPr>
          <w:tblHeader w:val="true"/>
        </w:trPr>
        <w:tc>
          <w:tcPr>
            <w:tcW w:type="dxa" w:w="792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43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424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Primary control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1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PWA, Console or approved WhatsApp ingress</w:t>
            </w:r>
          </w:p>
        </w:tc>
        <w:tc>
          <w:tcPr>
            <w:tcW w:type="dxa" w:w="424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Webhook signature, sender/tenant resolution, consent and idempotency</w:t>
            </w:r>
          </w:p>
        </w:tc>
      </w:tr>
      <w:tr>
        <w:trPr>
          <w:cantSplit/>
        </w:trPr>
        <w:tc>
          <w:tcPr>
            <w:tcW w:type="dxa" w:w="79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2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Media quarantine and pre-processing</w:t>
            </w:r>
          </w:p>
        </w:tc>
        <w:tc>
          <w:tcPr>
            <w:tcW w:type="dxa" w:w="424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Type/size policy, malware scan, metadata stripping and C3 storage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3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OCR, transcription and language identification</w:t>
            </w:r>
          </w:p>
        </w:tc>
        <w:tc>
          <w:tcPr>
            <w:tcW w:type="dxa" w:w="424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Nigeria-resident provider path, versioning and confidence</w:t>
            </w:r>
          </w:p>
        </w:tc>
      </w:tr>
      <w:tr>
        <w:trPr>
          <w:cantSplit/>
        </w:trPr>
        <w:tc>
          <w:tcPr>
            <w:tcW w:type="dxa" w:w="79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4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Clerk workflow orchestrator</w:t>
            </w:r>
          </w:p>
        </w:tc>
        <w:tc>
          <w:tcPr>
            <w:tcW w:type="dxa" w:w="424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Bounded state machine, tenant policy, typed actions and tool allow-list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5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Canonical mapper, Claims Register, Error Catalogue and validation engine</w:t>
            </w:r>
          </w:p>
        </w:tc>
        <w:tc>
          <w:tcPr>
            <w:tcW w:type="dxa" w:w="424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Deterministic protected facts, field provenance and current-version checks</w:t>
            </w:r>
          </w:p>
        </w:tc>
      </w:tr>
      <w:tr>
        <w:trPr>
          <w:cantSplit/>
        </w:trPr>
        <w:tc>
          <w:tcPr>
            <w:tcW w:type="dxa" w:w="79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6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Operator review queue</w:t>
            </w:r>
          </w:p>
        </w:tc>
        <w:tc>
          <w:tcPr>
            <w:tcW w:type="dxa" w:w="424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Source-to-field evidence, explicit decision, reason and elevated review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7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Existing invoice draft, submission and Buyer Rails workflows</w:t>
            </w:r>
          </w:p>
        </w:tc>
        <w:tc>
          <w:tcPr>
            <w:tcW w:type="dxa" w:w="424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 Clerk bypass of SME-03, INT-09, BR-02 or lifecycle permissions</w:t>
            </w:r>
          </w:p>
        </w:tc>
      </w:tr>
      <w:tr>
        <w:trPr>
          <w:cantSplit/>
        </w:trPr>
        <w:tc>
          <w:tcPr>
            <w:tcW w:type="dxa" w:w="79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8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Audit, observability and evaluation</w:t>
            </w:r>
          </w:p>
        </w:tc>
        <w:tc>
          <w:tcPr>
            <w:tcW w:type="dxa" w:w="424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CORE-05 reference events, restricted evidence vault, drift and kill switches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Approved tool gateway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Read active ClaimRecords and ErrorCatalogueEntries within the applicable jurisdiction, date and transaction scope.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Read the permitted tenant-scoped draft and supporting source references.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Create or update a mutable draft field candidate; create clarification or operator-review tasks.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Generate a short-lived authenticated pointer; schedule an approved pointer-only reminder.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Refuse and escalate. The gateway exposes no submitInvoice, payment, post-submission mutation or credit-decision tool.</w:t>
      </w:r>
    </w:p>
    <w:p>
      <w:pPr>
        <w:pStyle w:val="Heading1"/>
        <w:keepNext/>
      </w:pPr>
      <w:r>
        <w:t>5. Data model and information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4968"/>
        <w:gridCol w:w="2304"/>
      </w:tblGrid>
      <w:tr>
        <w:trPr>
          <w:tblHeader w:val="true"/>
        </w:trPr>
        <w:tc>
          <w:tcPr>
            <w:tcW w:type="dxa" w:w="208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Object</w:t>
            </w:r>
          </w:p>
        </w:tc>
        <w:tc>
          <w:tcPr>
            <w:tcW w:type="dxa" w:w="49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2304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Class / lifecycle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ClerkCase</w:t>
            </w:r>
          </w:p>
        </w:tc>
        <w:tc>
          <w:tcPr>
            <w:tcW w:type="dxa" w:w="49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Tenant-scoped workflow state linking sources, draft, reviews and outcome</w:t>
            </w:r>
          </w:p>
        </w:tc>
        <w:tc>
          <w:tcPr>
            <w:tcW w:type="dxa" w:w="23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C2/C3; retained to approved support/evidence schedule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SourceArtifact</w:t>
            </w:r>
          </w:p>
        </w:tc>
        <w:tc>
          <w:tcPr>
            <w:tcW w:type="dxa" w:w="49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Inbound photo, PDF, message or voice note with sender and consent provenance</w:t>
            </w:r>
          </w:p>
        </w:tc>
        <w:tc>
          <w:tcPr>
            <w:tcW w:type="dxa" w:w="23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C3; short approved retention under OPEN-8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FieldCandidate</w:t>
            </w:r>
          </w:p>
        </w:tc>
        <w:tc>
          <w:tcPr>
            <w:tcW w:type="dxa" w:w="49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Value, source region/audio interval, extractor version, confidence and review state</w:t>
            </w:r>
          </w:p>
        </w:tc>
        <w:tc>
          <w:tcPr>
            <w:tcW w:type="dxa" w:w="23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C3; promoted to canonical draft only through policy/review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ClaimRecord</w:t>
            </w:r>
          </w:p>
        </w:tc>
        <w:tc>
          <w:tcPr>
            <w:tcW w:type="dxa" w:w="49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Approved proposition, applicability, protected facts, citation, dates, approver and variants</w:t>
            </w:r>
          </w:p>
        </w:tc>
        <w:tc>
          <w:tcPr>
            <w:tcW w:type="dxa" w:w="23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C1/C2 governance record; versioned and never silently overwritten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ErrorCatalogueEntry</w:t>
            </w:r>
          </w:p>
        </w:tc>
        <w:tc>
          <w:tcPr>
            <w:tcW w:type="dxa" w:w="49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Stable error code, approved cause, fix, source and regression fixture</w:t>
            </w:r>
          </w:p>
        </w:tc>
        <w:tc>
          <w:tcPr>
            <w:tcW w:type="dxa" w:w="23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C1/C2; inherits ADV-03/INT-02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InferenceRun</w:t>
            </w:r>
          </w:p>
        </w:tc>
        <w:tc>
          <w:tcPr>
            <w:tcW w:type="dxa" w:w="49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Model, prompt/policy, source IDs, typed output, cost, latency and decision</w:t>
            </w:r>
          </w:p>
        </w:tc>
        <w:tc>
          <w:tcPr>
            <w:tcW w:type="dxa" w:w="23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C3 where content is present; restricted vault plus CORE-05 hash/reference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ReviewDecision</w:t>
            </w:r>
          </w:p>
        </w:tc>
        <w:tc>
          <w:tcPr>
            <w:tcW w:type="dxa" w:w="49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Actor, authority, approve/edit/reject/escalate, reason and before/after diff</w:t>
            </w:r>
          </w:p>
        </w:tc>
        <w:tc>
          <w:tcPr>
            <w:tcW w:type="dxa" w:w="23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C3; append-only evidence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MessageEnvelope</w:t>
            </w:r>
          </w:p>
        </w:tc>
        <w:tc>
          <w:tcPr>
            <w:tcW w:type="dxa" w:w="49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Template, recipient role, pointer, delivery, read/opt-out and language</w:t>
            </w:r>
          </w:p>
        </w:tc>
        <w:tc>
          <w:tcPr>
            <w:tcW w:type="dxa" w:w="23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C2; no invoice content under SEC-12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ReminderCampaign</w:t>
            </w:r>
          </w:p>
        </w:tc>
        <w:tc>
          <w:tcPr>
            <w:tcW w:type="dxa" w:w="49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BR-02 eligibility, cadence, cap, status and operator escalation</w:t>
            </w:r>
          </w:p>
        </w:tc>
        <w:tc>
          <w:tcPr>
            <w:tcW w:type="dxa" w:w="23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C2/C3; closes on confirm/query/opt-out/cap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EvaluationCase</w:t>
            </w:r>
          </w:p>
        </w:tc>
        <w:tc>
          <w:tcPr>
            <w:tcW w:type="dxa" w:w="49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Approved input, expected output, risk label, language and test history</w:t>
            </w:r>
          </w:p>
        </w:tc>
        <w:tc>
          <w:tcPr>
            <w:tcW w:type="dxa" w:w="23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Synthetic C1 by default; real-data use requires approved purpose and minimisation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ClaimRecord minimum schema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Claim ID, version, status, jurisdiction and applicable taxpayer, transaction and reporting classes.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Approved proposition, legal instrument/section, protected numeric/date fields and source evidence reference.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Effective-from, effective-to, review and emergency-withdrawal dates.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Approved plain-language variants, permitted languages and glossary version.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Author, independent approver, approval evidence, supersession lineage and affected templates/tests.</w:t>
      </w:r>
    </w:p>
    <w:p>
      <w:pPr>
        <w:pStyle w:val="Heading2"/>
        <w:keepNext/>
      </w:pPr>
      <w:r>
        <w:t>5.2 Data handling rule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4DD" w:val="clear"/>
            <w:tcBorders>
              <w:top w:val="single" w:sz="2" w:space="0" w:color="FFF4DD"/>
              <w:left w:val="single" w:sz="2" w:space="0" w:color="FFF4DD"/>
              <w:bottom w:val="single" w:sz="2" w:space="0" w:color="FFF4DD"/>
              <w:right w:val="single" w:sz="2" w:space="0" w:color="FFF4DD"/>
              <w:insideH w:val="single" w:sz="2" w:space="0" w:color="FFF4DD"/>
              <w:insideV w:val="single" w:sz="2" w:space="0" w:color="FFF4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MINIMISATION: </w:t>
            </w:r>
            <w:r>
              <w:rPr>
                <w:rFonts w:ascii="Calibri" w:hAnsi="Calibri"/>
                <w:color w:val="111827"/>
                <w:sz w:val="21"/>
              </w:rPr>
              <w:t>Raw C3 prompts, audio, invoice text and outputs are not copied into general logs or search tools. Restricted content lives in a controlled vault; CORE-05 stores the material event, hash and access-controlled reference.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Capture and canonicalisation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Accept only approved image, PDF, text and voice formats through consented channels; attach tenant, sender, consent and provenance.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Unsupported formats fail safely; every accepted source has complete provenance.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Verify provider webhook signatures and deduplicate on provider message ID.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Replayed webhooks create no duplicate case or draft.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Quarantine, scan and validate inbound media before OCR, transcription or model use.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Malicious or malformed fixtures never reach downstream services.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Map extracted content to the active CORE-01 canonical data dictionary; field count is versioned, not hard-coded.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Each candidate stores source, confidence, extractor version and review state.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Treat document text, metadata, transcripts and messages as untrusted data, never as policy or tool instructions.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Prompt-injection fixtures cannot alter policy, retrieval scope or tool calls.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Route low-confidence, conflicting or materially changed critical fields to human confirmation.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party identity, TIN, invoice number/date, currency, total, tax or payment field bypasses review.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CLK-CAP-07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Request missing information through an authenticated secure flow; outbound chat remains a neutral pointer.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Runtime and template lint show zero SEC-12 prohibited content.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CLK-CAP-08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Preserve source-to-field lineage, including page region or audio interval.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 reviewer can inspect the exact source for any proposed field.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Claims register and error catalogue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Store every binding compliance proposition as a structured, versioned ClaimRecord.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R0 foundation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claim activates without source, applicability, effective date, approver and review date.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Support Draft, Review, Active, Suspended, Superseded, Expired and Rejected states.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R0 foundation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Only active and currently applicable records are returned at runtime.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Use maker-checker approval for claim creation and amendment.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R0 foundation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The author cannot approve the same version; transitions are audit-logged.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Represent protected amounts, thresholds, dates and citations separately from explanatory language.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R0 foundation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The model has no permission to populate or change protected fields.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Ground rejection explanations in stable ADV-03/INT-02 catalogue entries.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Each explanation cites internal code, approved cause, corrective action and catalogue version.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Suspend affected claims immediately when law, official guidance or counsel interpretation changes.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Suspension blocks new use within one minute and raises review tasks for dependent templates.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CLK-KB-07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Run claim-freshness, source-change and overdue-review jobs.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Expired or overdue records cannot answer and appear on the governance dashboard.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CLK-KB-08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Turn each approved production failure into a regression fixture after tax/engineering review.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onward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Catalogue change links to a passing fixture before activation.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AI orchestration and unsupported-claim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Route every OCR, transcription and model call through the MeridianIQ inference gateway.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Production code contains no unmanaged provider endpoint or direct model SDK call.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Require a typed response schema with intent, permitted action, confidence, source IDs and policy result.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Schema-invalid output is discarded and escalated, never shown or executed.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Assemble binding facts deterministically after retrieval.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Protected values exactly equal the selected active ClaimRecord in every evaluation case.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Return REFUSE_AND_ESCALATE where no single applicable active claim or catalogue entry supports the request.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Unsupported, ambiguous, conflicting and stale-source tests receive no substantive answer.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Apply risk- and field-specific confidence routing.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Every below-threshold or high-risk result enters the correct human queue.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Prohibit open-web and unapproved external-source access for compliance answers.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Network and tool tests show only approved internal sources are callable.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CLK-AI-07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Version model, prompt, retrieval policy, schema, templates and glossary.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 historical case is reproducible against its recorded configuration.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CLK-AI-08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Preserve protected fields during Nigerian-English, Pidgin or later language rendering.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Structured comparison shows no protected-value mutation; each language has an independent benchmark.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CLK-AI-09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Prohibit vendor training, secondary use or retention beyond approved processing instructions.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Contract, configuration and technical evidence exist before production data is enabled.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CLK-AI-10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Enforce tenant-scoped retrieval and object access at the data layer.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Cross-tenant adversarial tests return no fragment, record or inference context.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CLK-AI-11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Provide an immediate global and per-capability kill switch independent of deployment.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An authorised incident commander disables model responses while manual Desk work continues.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Unsupported-claim decision sequence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11827"/>
          <w:sz w:val="22"/>
        </w:rPr>
        <w:t>Classify the request into a supported intent and jurisdiction/transaction context.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11827"/>
          <w:sz w:val="22"/>
        </w:rPr>
        <w:t>Retrieve only active ClaimRecords and catalogue entries within the tenant and applicability filters.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11827"/>
          <w:sz w:val="22"/>
        </w:rPr>
        <w:t>Resolve conflicts and freshness through deterministic policy. More than one incompatible result is not an answer.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11827"/>
          <w:sz w:val="22"/>
        </w:rPr>
        <w:t>Render protected facts from the selected record; constrain any plain-language transformation to approved meaning.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111827"/>
          <w:sz w:val="22"/>
        </w:rPr>
        <w:t>If any step fails, return a neutral refusal and create a Desk escalation with the captured context.</w:t>
      </w:r>
    </w:p>
    <w:p>
      <w:pPr>
        <w:pStyle w:val="Heading1"/>
        <w:keepNext/>
      </w:pPr>
      <w:r>
        <w:t>9. Human approval and Compliance Desk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Show source, candidate value, confidence, validation result and proposed change side by side.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 reviewer verifies the case without reopening content in an external provider tool.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Support Approve, Edit, Reject and Escalate decisions with reason codes.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Every decision records actor, authority, time and before/after diff.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Require explicit authorised approval before submission.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Clerk service identity has permission to call submitInvoice; audit proves the human approval chain.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Require elevated review for policy-defined high-risk cases.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High-risk cases cannot close with one unqualified approval.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Prioritise queues by compliance deadline, failed submission, client SLA and risk.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Seeded urgent cases always rank ahead of routine work.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Measure waiting, machine and human-active handling time by case type.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R0 foundation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Dashboard establishes the 40-clients-per-operator baseline and automation contribution.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CLK-OPS-07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Run risk-weighted QA sampling and a continuous unsupported-claim control with monthly governance review.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Audit evidence reports accuracy, overrides, source validity and incidents by cohort.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CLK-OPS-08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Maintain a complete manual fallback for every Clerk-supported workflow.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Operators complete representative cases while inference is disabled.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Messaging and buyer-follow-up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BEAEA" w:val="clear"/>
            <w:tcBorders>
              <w:top w:val="single" w:sz="2" w:space="0" w:color="FBEAEA"/>
              <w:left w:val="single" w:sz="2" w:space="0" w:color="FBEAEA"/>
              <w:bottom w:val="single" w:sz="2" w:space="0" w:color="FBEAEA"/>
              <w:right w:val="single" w:sz="2" w:space="0" w:color="FBEAEA"/>
              <w:insideH w:val="single" w:sz="2" w:space="0" w:color="FBEAEA"/>
              <w:insideV w:val="single" w:sz="2" w:space="0" w:color="FBEA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SEC-12: </w:t>
            </w:r>
            <w:r>
              <w:rPr>
                <w:rFonts w:ascii="Calibri" w:hAnsi="Calibri"/>
                <w:color w:val="111827"/>
                <w:sz w:val="21"/>
              </w:rPr>
              <w:t>Inbound media is a new consented surface. Outbound WhatsApp, SMS and email remain pointers only. Clerk must not reply with an invoice amount, TIN, counterparty, attachment or binding penalty figure; the authenticated claim card or application displays the sourced detail.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Resolve sender, tenant, authorised role and current consent before processing inbound content.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Unknown or unconsented senders receive only a neutral identity/onboarding pointer.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Apply SEC-12 template and runtime lint to every outbound channel.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onward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Tests and monthly samples show zero prohibited data-bearing messages.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Use short-lived authenticated deep links with no sensitive URL parameters.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Expired, forwarded or tampered links reveal no client information.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Record provider send, delivery, read where available, failure, suppression and opt-out events.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History is queryable without provider dashboards.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Enforce idempotent scheduling, rate limits, quiet hours, cadence caps and opt-out.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Retries cannot duplicate a reminder; opt-out promptly suppresses further messages.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CLK-MSG-06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Preserve the same data boundary during PL-04 channel failover.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SMS or email fallback cannot weaken the pointer-only rule.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CLK-BUY-01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Create buyer reminders only for eligible BR-02 Confirmation requested records.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reminder is sent for cancelled, credited, disputed, confirmed or capped records.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CLK-BUY-02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Direct the buyer to an authenticated Buyer Rails surface; chat itself cannot record operative confirmation.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Attribution, authority and response are captured in BR-02.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CLK-BUY-03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Stop on confirmation, query, rejection, opt-out or reminder cap and escalate exceptions.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campaign continues indefinitely or treats silence as confirmation.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CLK-BUY-04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Use approved language variants without describing confirmation as credit building before the applicable narrative gate.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Template, language, glossary and approval versions are recorded per message.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Security, privacy and Nigeria-residency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Keep raw media, transcripts, prompts, outputs, embeddings, telemetry and backups on approved Nigeria-resident infrastructure by default.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Infrastructure inventory and egress tests show no unapproved offshore path.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Block production real-client inference until OPEN-6 and the Clerk DPIA close.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R1/R2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Feature flag cannot activate without recorded Counsel, DPO and Security approvals.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Encrypt Clerk artifacts and enforce tenant-, job- and time-scoped access.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Every view, export and privileged access is authorised and logged.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Apply an approved short retention schedule to raw media and intermediate artifacts while preserving required canonical and audit lineage.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Deletion evidence passes under OPEN-8; restore does not silently revive deleted content.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Store restricted prompt/output content separately and reference it from CORE-05.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Audit export remains verifiable without exposing unrestricted C3 content.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Re-check purpose and permission at capture, inference, review, messaging and any model-improvement use.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Revocation blocks new processing within the CORE-03 target.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CLK-SEC-07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Maintain DPAs, locations, subprocessor and no-training evidence for messaging, OCR, transcription, inference and monitoring vendors.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provider receives production data without SEC-11 evidence.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CLK-SEC-08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Detect secrets, credentials and unrelated sensitive material in uploads and generated output.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Fixtures are quarantined or redacted and raise a safe operator alert.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CLK-SEC-09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Apply existing tenant isolation, roles, MFA, JIT support access and secure SDLC controls to Clerk.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Privilege escalation, cross-tenant and support-abuse tests fail closed.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CLK-SEC-10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Keep Layer Two model-development processing OFF until its distinct lawful basis, DPIA, minimisation and anonymity controls are approved.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Production client content cannot enter training, fine-tuning or general evaluation sets by configuration.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Reliability, observability and evaluation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4536"/>
        <w:gridCol w:w="936"/>
        <w:gridCol w:w="2520"/>
      </w:tblGrid>
      <w:tr>
        <w:trPr>
          <w:tblHeader w:val="true"/>
        </w:trPr>
        <w:tc>
          <w:tcPr>
            <w:tcW w:type="dxa" w:w="13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5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93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Release</w:t>
            </w:r>
          </w:p>
        </w:tc>
        <w:tc>
          <w:tcPr>
            <w:tcW w:type="dxa" w:w="25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CLK-NFR-01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Clerk failure must not block manual Compliance Desk service or the main submission pipeline.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Model/provider outage routes work to manual mode without data loss.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CLK-NFR-02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Acknowledge inbound provider webhooks promptly and process media asynchronously.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p95 acknowledgement meets the contracted provider limit under target load.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CLK-NFR-03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Support secure resumable flows on low-end Android devices and intermittent connectivity.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Field testing completes capture and review without silent loss or duplicate cases.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CLK-NFR-04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Measure cost per source, interaction and completed Desk case.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onward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OCR, transcription, inference, messaging and human cost are visible separately.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CLK-OBS-01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Propagate one trace ID across ingress, extraction, retrieval, model, policy, review, messaging and submission linkage.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 sampled case is reconstructable end to end.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CLK-OBS-02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Record model, prompt/policy, source bundle, typed output, claim IDs, confidence and human decision.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Every displayed answer and field suggestion has complete provenance.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CLK-OBS-03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Alert on unsupported output, protected-field mismatch, expired claim use, tenant-policy failure and message-lint failure.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shadow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Seeded events reach the correct owner and disable the unsafe path where required.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CLK-OBS-04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Measure extraction quality, overrides, refusal, escalation, handling time and operator capacity by cohort.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R1 onward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Metrics segment by language, channel, document type, tenant and model version.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CLK-OBS-05</w:t>
            </w:r>
          </w:p>
        </w:tc>
        <w:tc>
          <w:tcPr>
            <w:tcW w:type="dxa" w:w="45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Measure reminder delivery, confirmation conversion, opt-outs and complaints.</w:t>
            </w:r>
          </w:p>
        </w:tc>
        <w:tc>
          <w:tcPr>
            <w:tcW w:type="dxa" w:w="93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gated</w:t>
            </w:r>
          </w:p>
        </w:tc>
        <w:tc>
          <w:tcPr>
            <w:tcW w:type="dxa" w:w="25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 campaign or tenant cohort can be suspended from the dashboard.</w:t>
            </w:r>
          </w:p>
        </w:tc>
      </w:tr>
      <w:tr>
        <w:trPr>
          <w:cantSplit/>
        </w:trPr>
        <w:tc>
          <w:tcPr>
            <w:tcW w:type="dxa" w:w="13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CLK-OBS-06</w:t>
            </w:r>
          </w:p>
        </w:tc>
        <w:tc>
          <w:tcPr>
            <w:tcW w:type="dxa" w:w="45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Detect performance and safety drift by model and input cohort.</w:t>
            </w:r>
          </w:p>
        </w:tc>
        <w:tc>
          <w:tcPr>
            <w:tcW w:type="dxa" w:w="93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R2 beta</w:t>
            </w:r>
          </w:p>
        </w:tc>
        <w:tc>
          <w:tcPr>
            <w:tcW w:type="dxa" w:w="25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Threshold breach returns the affected cohort to full manual review.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Testing, release gates and kill conditions</w:t>
      </w:r>
    </w:p>
    <w:p>
      <w:pPr>
        <w:pStyle w:val="Heading2"/>
        <w:keepNext/>
      </w:pPr>
      <w:r>
        <w:t>13.1 Required test programme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Golden corpus: clean files, mobile photographs, skew/low-light images, voice notes, English and independently benchmarked Nigerian Pidgin; Yoruba remains separately gated.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Exact protected-fact and citation tests across current, future-effective, expired, suspended, conflicting and missing ClaimRecords.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Prompt injection in images, PDFs, metadata, transcripts and user text; tool misuse and cross-tenant leakage tests.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Critical-field confidence routing, operator automation-bias checks and source-to-field evidence usability.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Webhook replay, provider retry, duplicate message, message lint, opt-out and campaign-cap tests.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Model/provider outage, kill switch, manual fallback, canary, rollback, restored deletion tombstones and incident rehearsal.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Shadow-mode comparison against operator decisions, then monthly production sample review beside continuous deterministic controls.</w:t>
      </w:r>
    </w:p>
    <w:p>
      <w:pPr>
        <w:pStyle w:val="Heading2"/>
        <w:keepNext/>
      </w:pPr>
      <w:r>
        <w:t>13.2 Release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6408"/>
        <w:gridCol w:w="1296"/>
      </w:tblGrid>
      <w:tr>
        <w:trPr>
          <w:tblHeader w:val="true"/>
        </w:trPr>
        <w:tc>
          <w:tcPr>
            <w:tcW w:type="dxa" w:w="165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Gate</w:t>
            </w:r>
          </w:p>
        </w:tc>
        <w:tc>
          <w:tcPr>
            <w:tcW w:type="dxa" w:w="640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Minimum evidence</w:t>
            </w:r>
          </w:p>
        </w:tc>
        <w:tc>
          <w:tcPr>
            <w:tcW w:type="dxa" w:w="129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Foundation ready</w:t>
            </w:r>
          </w:p>
        </w:tc>
        <w:tc>
          <w:tcPr>
            <w:tcW w:type="dxa" w:w="64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Structured claims ownership; catalogue coverage ≥80% of encountered failures; baseline operator-time instrumentation; OPEN-6/DPIA path agreed</w:t>
            </w:r>
          </w:p>
        </w:tc>
        <w:tc>
          <w:tcPr>
            <w:tcW w:type="dxa" w:w="129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Permit shadow-mode build only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Shadow safe</w:t>
            </w:r>
          </w:p>
        </w:tc>
        <w:tc>
          <w:tcPr>
            <w:tcW w:type="dxa" w:w="64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Zero unsupported binding claims; exact protected facts; every critical low-confidence field flagged; no tenant/residency defect; manual fallback proven</w:t>
            </w:r>
          </w:p>
        </w:tc>
        <w:tc>
          <w:tcPr>
            <w:tcW w:type="dxa" w:w="129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Permit operator-only pilot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Desk pilot valuable</w:t>
            </w:r>
          </w:p>
        </w:tc>
        <w:tc>
          <w:tcPr>
            <w:tcW w:type="dxa" w:w="64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Material handling-time reduction; no unreviewed submission; no Clerk-caused penalty; zero data-bearing outbound messages; acceptable cost per case</w:t>
            </w:r>
          </w:p>
        </w:tc>
        <w:tc>
          <w:tcPr>
            <w:tcW w:type="dxa" w:w="129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Permit limited client-visible beta</w:t>
            </w:r>
          </w:p>
        </w:tc>
      </w:tr>
      <w:tr>
        <w:trPr>
          <w:cantSplit/>
        </w:trPr>
        <w:tc>
          <w:tcPr>
            <w:tcW w:type="dxa" w:w="165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Channel scale earned</w:t>
            </w:r>
          </w:p>
        </w:tc>
        <w:tc>
          <w:tcPr>
            <w:tcW w:type="dxa" w:w="64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Sustained operator-load improvement without SLA/quality degradation; paid-firm evidence; language and buyer-message gates pass</w:t>
            </w:r>
          </w:p>
        </w:tc>
        <w:tc>
          <w:tcPr>
            <w:tcW w:type="dxa" w:w="129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Permit R2 cohort expansion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ProofGraph ready</w:t>
            </w:r>
          </w:p>
        </w:tc>
        <w:tc>
          <w:tcPr>
            <w:tcW w:type="dxa" w:w="64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Sufficient audited outcomes, stable cohort performance and main R3 gates; no credit decision or external readiness claim</w:t>
            </w:r>
          </w:p>
        </w:tc>
        <w:tc>
          <w:tcPr>
            <w:tcW w:type="dxa" w:w="129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Permit evidence-intelligence work 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Immediate kill conditions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shd w:fill="FBEAEA" w:val="clear"/>
            <w:tcBorders>
              <w:top w:val="single" w:sz="2" w:space="0" w:color="FBEAEA"/>
              <w:left w:val="single" w:sz="2" w:space="0" w:color="FBEAEA"/>
              <w:bottom w:val="single" w:sz="2" w:space="0" w:color="FBEAEA"/>
              <w:right w:val="single" w:sz="2" w:space="0" w:color="FBEAEA"/>
              <w:insideH w:val="single" w:sz="2" w:space="0" w:color="FBEAEA"/>
              <w:insideV w:val="single" w:sz="2" w:space="0" w:color="FBEAE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SEVERITY ZERO: </w:t>
            </w:r>
            <w:r>
              <w:rPr>
                <w:rFonts w:ascii="Calibri" w:hAnsi="Calibri"/>
                <w:color w:val="111827"/>
                <w:sz w:val="21"/>
              </w:rPr>
              <w:t>One unsupported binding compliance fact reaching a customer, one submission without recorded authorised approval, or one Clerk-caused client penalty immediately disables the affected capability and invokes the existing severity-zero incident process.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color w:val="111827"/>
          <w:sz w:val="22"/>
        </w:rPr>
        <w:t>Wrong citation, amount, deadline or threshold; active claim does not match rendered protected fields.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Cross-tenant disclosure, unapproved offshore C3 processing or prohibited data in an outbound message.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Expired or suspended claim used; prompt injection invokes a tool or changes policy.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Material model drift, override spike, inaccessible manual fallback or buyer-message complaints above the approved threshold.</w:t>
      </w:r>
    </w:p>
    <w:p>
      <w:pPr>
        <w:pStyle w:val="Heading1"/>
        <w:keepNext/>
      </w:pPr>
      <w:r>
        <w:t>14. Open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5400"/>
        <w:gridCol w:w="2880"/>
      </w:tblGrid>
      <w:tr>
        <w:trPr>
          <w:tblHeader w:val="true"/>
        </w:trPr>
        <w:tc>
          <w:tcPr>
            <w:tcW w:type="dxa" w:w="108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Ref</w:t>
            </w:r>
          </w:p>
        </w:tc>
        <w:tc>
          <w:tcPr>
            <w:tcW w:type="dxa" w:w="540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 required</w:t>
            </w:r>
          </w:p>
        </w:tc>
        <w:tc>
          <w:tcPr>
            <w:tcW w:type="dxa" w:w="288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Owner and blocking effect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OPEN-6</w:t>
            </w:r>
          </w:p>
        </w:tc>
        <w:tc>
          <w:tcPr>
            <w:tcW w:type="dxa" w:w="54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Where may WhatsApp media, OCR, speech transcription, model inference, telemetry, backup and vendor support run, and under what residency, transfer, retention and no-training conditions?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DPO, Counsel, CTO/Security and Product; blocks real-client inference and client-facing WhatsApp.</w:t>
            </w:r>
          </w:p>
        </w:tc>
      </w:tr>
      <w:tr>
        <w:trPr>
          <w:cantSplit/>
        </w:trPr>
        <w:tc>
          <w:tcPr>
            <w:tcW w:type="dxa" w:w="10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OPEN-7</w:t>
            </w:r>
          </w:p>
        </w:tc>
        <w:tc>
          <w:tcPr>
            <w:tcW w:type="dxa" w:w="54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Claim approval authority, review frequency, source-change monitoring and emergency withdrawal SLA.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Tax Lead and Counsel; blocks binding compliance answers.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OPEN-8</w:t>
            </w:r>
          </w:p>
        </w:tc>
        <w:tc>
          <w:tcPr>
            <w:tcW w:type="dxa" w:w="54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Retention/deletion schedule for raw media, transcripts, prompts, embeddings, outputs and evaluation artifacts.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DPO/Counsel; blocks production data lifecycle.</w:t>
            </w:r>
          </w:p>
        </w:tc>
      </w:tr>
      <w:tr>
        <w:trPr>
          <w:cantSplit/>
        </w:trPr>
        <w:tc>
          <w:tcPr>
            <w:tcW w:type="dxa" w:w="10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OPEN-9</w:t>
            </w:r>
          </w:p>
        </w:tc>
        <w:tc>
          <w:tcPr>
            <w:tcW w:type="dxa" w:w="54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Supported languages, dialects and release-quality thresholds, including independent Pidgin and Yoruba review.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Product, Operations and Language QA; blocks public language claims.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OPEN-10</w:t>
            </w:r>
          </w:p>
        </w:tc>
        <w:tc>
          <w:tcPr>
            <w:tcW w:type="dxa" w:w="54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Legal basis, template wording, authority, cadence caps, quiet hours, opt-out and complaint thresholds for buyer reminders.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Counsel/DPO/Commercial; blocks CLK-BUY.</w:t>
            </w:r>
          </w:p>
        </w:tc>
      </w:tr>
      <w:tr>
        <w:trPr>
          <w:cantSplit/>
        </w:trPr>
        <w:tc>
          <w:tcPr>
            <w:tcW w:type="dxa" w:w="10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OPEN-11</w:t>
            </w:r>
          </w:p>
        </w:tc>
        <w:tc>
          <w:tcPr>
            <w:tcW w:type="dxa" w:w="54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Approved Nigeria-resident inference deployment, model family, compute, key management, support access and recovery design.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CTO/Security; blocks production model deployment.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OPEN-12</w:t>
            </w:r>
          </w:p>
        </w:tc>
        <w:tc>
          <w:tcPr>
            <w:tcW w:type="dxa" w:w="54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Which low-risk claim categories, if any, may be client-visible without per-message human review.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Counsel, Tax Lead and Risk; default is human review.</w:t>
            </w:r>
          </w:p>
        </w:tc>
      </w:tr>
      <w:tr>
        <w:trPr>
          <w:cantSplit/>
        </w:trPr>
        <w:tc>
          <w:tcPr>
            <w:tcW w:type="dxa" w:w="10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OPEN-13</w:t>
            </w:r>
          </w:p>
        </w:tc>
        <w:tc>
          <w:tcPr>
            <w:tcW w:type="dxa" w:w="54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WhatsApp/provider terms, subprocessor chain, media retention, deletion and no-training evidence.</w:t>
            </w:r>
          </w:p>
        </w:tc>
        <w:tc>
          <w:tcPr>
            <w:tcW w:type="dxa" w:w="288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DPO/Security/Procurement; blocks live inbound media.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OPEN-14</w:t>
            </w:r>
          </w:p>
        </w:tc>
        <w:tc>
          <w:tcPr>
            <w:tcW w:type="dxa" w:w="54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Which service roles may approve submission for each contract model and white-label firm.</w:t>
            </w:r>
          </w:p>
        </w:tc>
        <w:tc>
          <w:tcPr>
            <w:tcW w:type="dxa" w:w="288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Counsel/Product; blocks authority configuration.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Appendix A — State machines</w:t>
      </w:r>
    </w:p>
    <w:p>
      <w:pPr>
        <w:pStyle w:val="Heading2"/>
        <w:keepNext/>
      </w:pPr>
      <w:r>
        <w:t>A1. Clerk case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3168"/>
        <w:gridCol w:w="4104"/>
      </w:tblGrid>
      <w:tr>
        <w:trPr>
          <w:tblHeader w:val="true"/>
        </w:trPr>
        <w:tc>
          <w:tcPr>
            <w:tcW w:type="dxa" w:w="208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16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Allowed next state</w:t>
            </w:r>
          </w:p>
        </w:tc>
        <w:tc>
          <w:tcPr>
            <w:tcW w:type="dxa" w:w="4104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Received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Consent checked / Rejected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Webhook verified, deduplicated and tenant/sender resolved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Consent checked</w:t>
            </w:r>
          </w:p>
        </w:tc>
        <w:tc>
          <w:tcPr>
            <w:tcW w:type="dxa" w:w="31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Quarantined / Refused</w:t>
            </w:r>
          </w:p>
        </w:tc>
        <w:tc>
          <w:tcPr>
            <w:tcW w:type="dxa" w:w="41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Current purpose and channel permission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Quarantined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Pre-processed / Security escalation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Scan, type, size and metadata policy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Pre-processed</w:t>
            </w:r>
          </w:p>
        </w:tc>
        <w:tc>
          <w:tcPr>
            <w:tcW w:type="dxa" w:w="31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Draft mapped / Extraction escalation</w:t>
            </w:r>
          </w:p>
        </w:tc>
        <w:tc>
          <w:tcPr>
            <w:tcW w:type="dxa" w:w="41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Versioned OCR/ASR and source lineage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Draft mapped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Clarification required / Ready for review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Canonical validation and confidence policy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Clarification required</w:t>
            </w:r>
          </w:p>
        </w:tc>
        <w:tc>
          <w:tcPr>
            <w:tcW w:type="dxa" w:w="31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Draft mapped / Escalated</w:t>
            </w:r>
          </w:p>
        </w:tc>
        <w:tc>
          <w:tcPr>
            <w:tcW w:type="dxa" w:w="41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Secure pointer; no prohibited chat content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Ready for review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Approved / Edited / Rejected / Escalated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Named human, reason and diff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Approved</w:t>
            </w:r>
          </w:p>
        </w:tc>
        <w:tc>
          <w:tcPr>
            <w:tcW w:type="dxa" w:w="31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Validated locally</w:t>
            </w:r>
          </w:p>
        </w:tc>
        <w:tc>
          <w:tcPr>
            <w:tcW w:type="dxa" w:w="41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Authority and critical-field checklist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Validated locally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Awaiting submission approval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Existing deterministic validation</w:t>
            </w:r>
          </w:p>
        </w:tc>
      </w:tr>
      <w:tr>
        <w:trPr>
          <w:cantSplit/>
        </w:trPr>
        <w:tc>
          <w:tcPr>
            <w:tcW w:type="dxa" w:w="208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Awaiting submission approval</w:t>
            </w:r>
          </w:p>
        </w:tc>
        <w:tc>
          <w:tcPr>
            <w:tcW w:type="dxa" w:w="316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Queued / Closed</w:t>
            </w:r>
          </w:p>
        </w:tc>
        <w:tc>
          <w:tcPr>
            <w:tcW w:type="dxa" w:w="410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Separate explicit authorised action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Queued</w:t>
            </w:r>
          </w:p>
        </w:tc>
        <w:tc>
          <w:tcPr>
            <w:tcW w:type="dxa" w:w="316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Existing INT-09 pipeline</w:t>
            </w:r>
          </w:p>
        </w:tc>
        <w:tc>
          <w:tcPr>
            <w:tcW w:type="dxa" w:w="410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Clerk loses write authority; normal lifecycle controls apply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A2. Claim record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Draft → Counsel Review → Active; Counsel Review may become Rejected. Active may become Suspended, Superseded or Expired. Suspended may be reactivated only through a new recorded approval. No state transition deletes history.</w:t>
      </w:r>
    </w:p>
    <w:p>
      <w:pPr>
        <w:pStyle w:val="Heading2"/>
        <w:keepNext/>
      </w:pPr>
      <w:r>
        <w:t>A3. Buyer reminder</w:t>
      </w:r>
    </w:p>
    <w:p>
      <w:pPr>
        <w:spacing w:after="120" w:line="300" w:lineRule="auto"/>
      </w:pPr>
      <w:r>
        <w:rPr>
          <w:rFonts w:ascii="Calibri" w:hAnsi="Calibri"/>
          <w:i w:val="0"/>
          <w:color w:val="111827"/>
        </w:rPr>
        <w:t>Eligible → Campaign Approved → Scheduled → Sent → Delivered or Failed. A campaign closes on Confirmed, Queried, Rejected, Opted Out or Cap Reached; unresolved capped cases enter Operator Escalation.</w:t>
      </w:r>
    </w:p>
    <w:p>
      <w:pPr>
        <w:pStyle w:val="Heading1"/>
        <w:keepNext/>
      </w:pPr>
      <w:r>
        <w:t>Appendix B — Minimum audit-event catalogue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clerk.message.received; clerk.sender.resolved; clerk.consent.checked; clerk.media.quarantined; clerk.media.scanned.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clerk.transcription.completed; clerk.extraction.completed; clerk.field.proposed; clerk.claim.retrieved; clerk.model.executed.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clerk.policy.allowed; clerk.policy.blocked; clerk.refused; clerk.review.created; clerk.review.decided.</w:t>
      </w:r>
    </w:p>
    <w:p>
      <w:pPr>
        <w:pStyle w:val="ListBullet"/>
      </w:pPr>
      <w:r>
        <w:rPr>
          <w:rFonts w:ascii="Calibri" w:hAnsi="Calibri"/>
          <w:color w:val="111827"/>
          <w:sz w:val="22"/>
        </w:rPr>
        <w:t>clerk.draft.updated; clerk.submission.approved; clerk.message.sent; clerk.reminder.stopped; clerk.kill_switch.changed.</w:t>
      </w:r>
    </w:p>
    <w:p>
      <w:pPr>
        <w:pStyle w:val="Heading1"/>
        <w:keepNext/>
      </w:pPr>
      <w:r>
        <w:t>Appendix C — Tool-permission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800"/>
        <w:gridCol w:w="1800"/>
        <w:gridCol w:w="1944"/>
        <w:gridCol w:w="1440"/>
      </w:tblGrid>
      <w:tr>
        <w:trPr>
          <w:tblHeader w:val="true"/>
        </w:trPr>
        <w:tc>
          <w:tcPr>
            <w:tcW w:type="dxa" w:w="2376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180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Clerk</w:t>
            </w:r>
          </w:p>
        </w:tc>
        <w:tc>
          <w:tcPr>
            <w:tcW w:type="dxa" w:w="180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Operator</w:t>
            </w:r>
          </w:p>
        </w:tc>
        <w:tc>
          <w:tcPr>
            <w:tcW w:type="dxa" w:w="1944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Client/firm approver</w:t>
            </w:r>
          </w:p>
        </w:tc>
        <w:tc>
          <w:tcPr>
            <w:tcW w:type="dxa" w:w="144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Tax/Counsel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Read applicable ClaimRecord/error entry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Allow, tenant/context scoped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View approved explanation</w:t>
            </w:r>
          </w:p>
        </w:tc>
        <w:tc>
          <w:tcPr>
            <w:tcW w:type="dxa" w:w="144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</w:t>
            </w:r>
          </w:p>
        </w:tc>
      </w:tr>
      <w:tr>
        <w:trPr>
          <w:cantSplit/>
        </w:trPr>
        <w:tc>
          <w:tcPr>
            <w:tcW w:type="dxa" w:w="237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Propose draft field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Allow/edit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Allow/edit own scope</w:t>
            </w:r>
          </w:p>
        </w:tc>
        <w:tc>
          <w:tcPr>
            <w:tcW w:type="dxa" w:w="144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routine need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Send secure clarification pointer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Draft/schedule only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Approve/send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Respond</w:t>
            </w:r>
          </w:p>
        </w:tc>
        <w:tc>
          <w:tcPr>
            <w:tcW w:type="dxa" w:w="144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Approve templates</w:t>
            </w:r>
          </w:p>
        </w:tc>
      </w:tr>
      <w:tr>
        <w:trPr>
          <w:cantSplit/>
        </w:trPr>
        <w:tc>
          <w:tcPr>
            <w:tcW w:type="dxa" w:w="237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Approve binding claim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44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Maker-checker approval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Submit invoice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Only if contract/role permits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Allow own authorised scope</w:t>
            </w:r>
          </w:p>
        </w:tc>
        <w:tc>
          <w:tcPr>
            <w:tcW w:type="dxa" w:w="144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</w:tr>
      <w:tr>
        <w:trPr>
          <w:cantSplit/>
        </w:trPr>
        <w:tc>
          <w:tcPr>
            <w:tcW w:type="dxa" w:w="237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Alter post-submission evidence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44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Deny; use lifecycle action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Make credit decision or quote financing terms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80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944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44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</w:tr>
      <w:tr>
        <w:trPr>
          <w:cantSplit/>
        </w:trPr>
        <w:tc>
          <w:tcPr>
            <w:tcW w:type="dxa" w:w="2376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Operate Clerk kill switch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80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Incident escalation</w:t>
            </w:r>
          </w:p>
        </w:tc>
        <w:tc>
          <w:tcPr>
            <w:tcW w:type="dxa" w:w="1944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Deny</w:t>
            </w:r>
          </w:p>
        </w:tc>
        <w:tc>
          <w:tcPr>
            <w:tcW w:type="dxa" w:w="144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Risk/Security authorised roles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Appendix D — Traceability to the main TRD and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320"/>
        <w:gridCol w:w="2808"/>
      </w:tblGrid>
      <w:tr>
        <w:trPr>
          <w:tblHeader w:val="true"/>
        </w:trPr>
        <w:tc>
          <w:tcPr>
            <w:tcW w:type="dxa" w:w="2232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Clerk group</w:t>
            </w:r>
          </w:p>
        </w:tc>
        <w:tc>
          <w:tcPr>
            <w:tcW w:type="dxa" w:w="4320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Inherited main controls</w:t>
            </w:r>
          </w:p>
        </w:tc>
        <w:tc>
          <w:tcPr>
            <w:tcW w:type="dxa" w:w="2808"/>
            <w:shd w:fill="E8EEF5" w:val="clea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Main roadmap alignment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Capture/canonicalisation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CORE-01/02; SME-01/02; NFR-05/06</w:t>
            </w:r>
          </w:p>
        </w:tc>
        <w:tc>
          <w:tcPr>
            <w:tcW w:type="dxa" w:w="28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R0 data foundation; R1 operator evidence</w:t>
            </w:r>
          </w:p>
        </w:tc>
      </w:tr>
      <w:tr>
        <w:trPr>
          <w:cantSplit/>
        </w:trPr>
        <w:tc>
          <w:tcPr>
            <w:tcW w:type="dxa" w:w="22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Claims/error grounding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ADV-03; SME-06; INT-02</w:t>
            </w:r>
          </w:p>
        </w:tc>
        <w:tc>
          <w:tcPr>
            <w:tcW w:type="dxa" w:w="28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Absorbs R2 AI failure-explainer candidate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Audit/replay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CORE-05/06</w:t>
            </w:r>
          </w:p>
        </w:tc>
        <w:tc>
          <w:tcPr>
            <w:tcW w:type="dxa" w:w="28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R0 onward</w:t>
            </w:r>
          </w:p>
        </w:tc>
      </w:tr>
      <w:tr>
        <w:trPr>
          <w:cantSplit/>
        </w:trPr>
        <w:tc>
          <w:tcPr>
            <w:tcW w:type="dxa" w:w="22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Consent/purpose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CORE-03; SEC-06/07</w:t>
            </w:r>
          </w:p>
        </w:tc>
        <w:tc>
          <w:tcPr>
            <w:tcW w:type="dxa" w:w="28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Layer One approved purpose; Layer Two OFF; Layer Three DARK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Operator review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CON-01/04; role-permission matrix</w:t>
            </w:r>
          </w:p>
        </w:tc>
        <w:tc>
          <w:tcPr>
            <w:tcW w:type="dxa" w:w="28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R1 queue and time baseline; R2 automation candidate</w:t>
            </w:r>
          </w:p>
        </w:tc>
      </w:tr>
      <w:tr>
        <w:trPr>
          <w:cantSplit/>
        </w:trPr>
        <w:tc>
          <w:tcPr>
            <w:tcW w:type="dxa" w:w="22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Messaging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PL-04; INT-07; SEC-12</w:t>
            </w:r>
          </w:p>
        </w:tc>
        <w:tc>
          <w:tcPr>
            <w:tcW w:type="dxa" w:w="28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R1 pointer alerts; R2 controlled inbound beta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Buyer follow-up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BR-02/04</w:t>
            </w:r>
          </w:p>
        </w:tc>
        <w:tc>
          <w:tcPr>
            <w:tcW w:type="dxa" w:w="28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R2 only after Buyer Rails state model is live</w:t>
            </w:r>
          </w:p>
        </w:tc>
      </w:tr>
      <w:tr>
        <w:trPr>
          <w:cantSplit/>
        </w:trPr>
        <w:tc>
          <w:tcPr>
            <w:tcW w:type="dxa" w:w="22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Security/residency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SEC-01–03; SEC-08–12; C4</w:t>
            </w:r>
          </w:p>
        </w:tc>
        <w:tc>
          <w:tcPr>
            <w:tcW w:type="dxa" w:w="28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OPEN-6 blocks production inference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Reliability</w:t>
            </w:r>
          </w:p>
        </w:tc>
        <w:tc>
          <w:tcPr>
            <w:tcW w:type="dxa" w:w="4320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INT-09; NFR-01/04</w:t>
            </w:r>
          </w:p>
        </w:tc>
        <w:tc>
          <w:tcPr>
            <w:tcW w:type="dxa" w:w="2808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Manual Desk service remains available</w:t>
            </w:r>
          </w:p>
        </w:tc>
      </w:tr>
      <w:tr>
        <w:trPr>
          <w:cantSplit/>
        </w:trPr>
        <w:tc>
          <w:tcPr>
            <w:tcW w:type="dxa" w:w="2232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Evidence intelligence</w:t>
            </w:r>
          </w:p>
        </w:tc>
        <w:tc>
          <w:tcPr>
            <w:tcW w:type="dxa" w:w="4320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CR gates and main R3/R4 rules</w:t>
            </w:r>
          </w:p>
        </w:tc>
        <w:tc>
          <w:tcPr>
            <w:tcW w:type="dxa" w:w="2808"/>
            <w:shd w:fill="F2F4F7" w:val="clear"/>
            <w:tcBorders>
              <w:top w:val="single" w:sz="3" w:space="0" w:color="C7CFD8"/>
              <w:left w:val="single" w:sz="3" w:space="0" w:color="C7CFD8"/>
              <w:bottom w:val="single" w:sz="3" w:space="0" w:color="C7CFD8"/>
              <w:right w:val="single" w:sz="3" w:space="0" w:color="C7CFD8"/>
              <w:insideH w:val="single" w:sz="3" w:space="0" w:color="C7CFD8"/>
              <w:insideV w:val="single" w:sz="3" w:space="0" w:color="C7CFD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Outcome data may feed ProofGraph; no Clerk credit decision</w:t>
            </w:r>
          </w:p>
        </w:tc>
      </w:tr>
    </w:tbl>
    <w:p>
      <w:pPr>
        <w:spacing w:after="0"/>
      </w:pPr>
    </w:p>
    <w:p>
      <w:pPr>
        <w:pStyle w:val="SourceNote"/>
      </w:pPr>
      <w:r>
        <w:t>Source basis: MeridianIQ Business Plan v3.2; Product Roadmap v1.1; Technical Requirements v1.1; Data Protection, Consent and Security Pack v1.0; and the approved Clerk concept decision. Legal and regulatory positions remain working interpretations for specialist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68" w:val="left"/>
      </w:tabs>
      <w:spacing w:before="0"/>
    </w:pPr>
    <w:r>
      <w:rPr>
        <w:rFonts w:ascii="Calibri" w:hAnsi="Calibri"/>
        <w:color w:val="5B6777"/>
        <w:sz w:val="16"/>
      </w:rPr>
      <w:t>CONFIDENTIAL - INTERNAL EXECUTION AND REVIEW</w:t>
    </w:r>
    <w:r>
      <w:rPr>
        <w:rFonts w:ascii="Calibri" w:hAnsi="Calibri"/>
        <w:color w:val="5B6777"/>
        <w:sz w:val="17"/>
      </w:rPr>
      <w:tab/>
      <w:t xml:space="preserve">Page </w:t>
    </w:r>
    <w:r>
      <w:rPr>
        <w:rFonts w:ascii="Calibri" w:hAnsi="Calibri"/>
        <w:color w:val="5B677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5B6777"/>
        <w:sz w:val="17"/>
      </w:rPr>
      <w:t>MERIDIANIQ | CLERK SUPPLEMENTAL TRD</w:t>
    </w:r>
    <w:r>
      <w:rPr>
        <w:rFonts w:ascii="Calibri" w:hAnsi="Calibri"/>
        <w:color w:val="5B6777"/>
        <w:sz w:val="17"/>
      </w:rPr>
      <w:tab/>
      <w:t>WORKING DRAFT |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 w:val="0"/>
      <w:iCs/>
      <w:color w:val="5B6777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40" w:lineRule="auto"/>
    </w:pPr>
    <w:rPr>
      <w:rFonts w:ascii="Calibri" w:hAnsi="Calibri"/>
      <w:color w:val="5B6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Clerk Supplemental TRD</dc:title>
  <dc:subject>MeridianIQ execution document pack</dc:subject>
  <dc:creator>MeridianIQ</dc:creator>
  <cp:keywords>MeridianIQ, e-invoicing, compliance, receivables, Nigeria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