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0"/>
      </w:pPr>
    </w:p>
    <w:p>
      <w:pPr>
        <w:spacing w:after="120"/>
        <w:jc w:val="center"/>
      </w:pPr>
      <w:r>
        <w:rPr>
          <w:rFonts w:ascii="Calibri" w:cs="Calibri" w:eastAsia="Calibri" w:hAnsi="Calibri"/>
          <w:b/>
          <w:bCs/>
          <w:color w:val="0E4C45"/>
          <w:sz w:val="88"/>
          <w:szCs w:val="88"/>
        </w:rPr>
        <w:t xml:space="preserve">MeridianIQ</w:t>
      </w:r>
    </w:p>
    <w:p>
      <w:pPr>
        <w:spacing w:after="500"/>
        <w:jc w:val="center"/>
      </w:pPr>
      <w:r>
        <w:rPr>
          <w:rFonts w:ascii="Calibri" w:cs="Calibri" w:eastAsia="Calibri" w:hAnsi="Calibri"/>
          <w:color w:val="5A5A5A"/>
          <w:sz w:val="28"/>
          <w:szCs w:val="28"/>
        </w:rPr>
        <w:t xml:space="preserve">From compliance wedge to verified-receivables credit infrastructure</w:t>
      </w:r>
    </w:p>
    <w:p>
      <w:pPr>
        <w:spacing w:after="140"/>
        <w:jc w:val="center"/>
      </w:pPr>
      <w:r>
        <w:rPr>
          <w:rFonts w:ascii="Calibri" w:cs="Calibri" w:eastAsia="Calibri" w:hAnsi="Calibri"/>
          <w:b/>
          <w:bCs/>
          <w:color w:val="C9A227"/>
          <w:sz w:val="26"/>
          <w:szCs w:val="26"/>
        </w:rPr>
        <w:t xml:space="preserve">BUSINESS PLAN</w:t>
      </w:r>
    </w:p>
    <w:p>
      <w:pPr>
        <w:spacing w:after="2900"/>
        <w:jc w:val="center"/>
      </w:pPr>
      <w:r>
        <w:rPr>
          <w:rFonts w:ascii="Calibri" w:cs="Calibri" w:eastAsia="Calibri" w:hAnsi="Calibri"/>
          <w:color w:val="5A5A5A"/>
          <w:sz w:val="22"/>
          <w:szCs w:val="22"/>
        </w:rPr>
        <w:t xml:space="preserve">Version 3.2  ·  July 2026  ·  Lagos, Nigeria</w:t>
      </w:r>
    </w:p>
    <w:p>
      <w:pPr>
        <w:jc w:val="center"/>
      </w:pPr>
      <w:r>
        <w:rPr>
          <w:rFonts w:ascii="Calibri" w:cs="Calibri" w:eastAsia="Calibri" w:hAnsi="Calibri"/>
          <w:i/>
          <w:iCs/>
          <w:color w:val="5A5A5A"/>
          <w:sz w:val="18"/>
          <w:szCs w:val="18"/>
        </w:rPr>
        <w:t xml:space="preserve">Confidential draft for planning and discussion. Contains forward-looking estimates that are illustrative only.</w:t>
      </w:r>
    </w:p>
    <w:p>
      <w:r>
        <w:br w:type="page"/>
      </w:r>
    </w:p>
    <w:p>
      <w:pPr>
        <w:pStyle w:val="Heading1"/>
      </w:pPr>
      <w:r>
        <w:t xml:space="preserve">Contents</w:t>
      </w:r>
    </w:p>
    <w:p>
      <w:pPr>
        <w:spacing w:after="90" w:line="276"/>
        <w:jc w:val="left"/>
      </w:pPr>
      <w:r>
        <w:rPr>
          <w:rFonts w:ascii="Calibri" w:cs="Calibri" w:eastAsia="Calibri" w:hAnsi="Calibri"/>
          <w:b w:val="false"/>
          <w:bCs w:val="false"/>
          <w:i w:val="false"/>
          <w:iCs w:val="false"/>
          <w:color w:val="222222"/>
          <w:sz w:val="23"/>
          <w:szCs w:val="23"/>
        </w:rPr>
        <w:t xml:space="preserve">1.  Executive Summary</w:t>
      </w:r>
    </w:p>
    <w:p>
      <w:pPr>
        <w:spacing w:after="90" w:line="276"/>
        <w:jc w:val="left"/>
      </w:pPr>
      <w:r>
        <w:rPr>
          <w:rFonts w:ascii="Calibri" w:cs="Calibri" w:eastAsia="Calibri" w:hAnsi="Calibri"/>
          <w:b w:val="false"/>
          <w:bCs w:val="false"/>
          <w:i w:val="false"/>
          <w:iCs w:val="false"/>
          <w:color w:val="222222"/>
          <w:sz w:val="23"/>
          <w:szCs w:val="23"/>
        </w:rPr>
        <w:t xml:space="preserve">2.  Company Overview and the Three-Act Thesis</w:t>
      </w:r>
    </w:p>
    <w:p>
      <w:pPr>
        <w:spacing w:after="90" w:line="276"/>
        <w:jc w:val="left"/>
      </w:pPr>
      <w:r>
        <w:rPr>
          <w:rFonts w:ascii="Calibri" w:cs="Calibri" w:eastAsia="Calibri" w:hAnsi="Calibri"/>
          <w:b w:val="false"/>
          <w:bCs w:val="false"/>
          <w:i w:val="false"/>
          <w:iCs w:val="false"/>
          <w:color w:val="222222"/>
          <w:sz w:val="23"/>
          <w:szCs w:val="23"/>
        </w:rPr>
        <w:t xml:space="preserve">3.  The Two Colliding Facts</w:t>
      </w:r>
    </w:p>
    <w:p>
      <w:pPr>
        <w:spacing w:after="90" w:line="276"/>
        <w:jc w:val="left"/>
      </w:pPr>
      <w:r>
        <w:rPr>
          <w:rFonts w:ascii="Calibri" w:cs="Calibri" w:eastAsia="Calibri" w:hAnsi="Calibri"/>
          <w:b w:val="false"/>
          <w:bCs w:val="false"/>
          <w:i w:val="false"/>
          <w:iCs w:val="false"/>
          <w:color w:val="222222"/>
          <w:sz w:val="23"/>
          <w:szCs w:val="23"/>
        </w:rPr>
        <w:t xml:space="preserve">4.  The Regulatory Opportunity</w:t>
      </w:r>
    </w:p>
    <w:p>
      <w:pPr>
        <w:spacing w:after="90" w:line="276"/>
        <w:jc w:val="left"/>
      </w:pPr>
      <w:r>
        <w:rPr>
          <w:rFonts w:ascii="Calibri" w:cs="Calibri" w:eastAsia="Calibri" w:hAnsi="Calibri"/>
          <w:b w:val="false"/>
          <w:bCs w:val="false"/>
          <w:i w:val="false"/>
          <w:iCs w:val="false"/>
          <w:color w:val="222222"/>
          <w:sz w:val="23"/>
          <w:szCs w:val="23"/>
        </w:rPr>
        <w:t xml:space="preserve">5.  Problem Statement</w:t>
      </w:r>
    </w:p>
    <w:p>
      <w:pPr>
        <w:spacing w:after="90" w:line="276"/>
        <w:jc w:val="left"/>
      </w:pPr>
      <w:r>
        <w:rPr>
          <w:rFonts w:ascii="Calibri" w:cs="Calibri" w:eastAsia="Calibri" w:hAnsi="Calibri"/>
          <w:b w:val="false"/>
          <w:bCs w:val="false"/>
          <w:i w:val="false"/>
          <w:iCs w:val="false"/>
          <w:color w:val="222222"/>
          <w:sz w:val="23"/>
          <w:szCs w:val="23"/>
        </w:rPr>
        <w:t xml:space="preserve">6.  Market Analysis</w:t>
      </w:r>
    </w:p>
    <w:p>
      <w:pPr>
        <w:spacing w:after="90" w:line="276"/>
        <w:jc w:val="left"/>
      </w:pPr>
      <w:r>
        <w:rPr>
          <w:rFonts w:ascii="Calibri" w:cs="Calibri" w:eastAsia="Calibri" w:hAnsi="Calibri"/>
          <w:b w:val="false"/>
          <w:bCs w:val="false"/>
          <w:i w:val="false"/>
          <w:iCs w:val="false"/>
          <w:color w:val="222222"/>
          <w:sz w:val="23"/>
          <w:szCs w:val="23"/>
        </w:rPr>
        <w:t xml:space="preserve">7.  Product and Services</w:t>
      </w:r>
    </w:p>
    <w:p>
      <w:pPr>
        <w:spacing w:after="90" w:line="276"/>
        <w:jc w:val="left"/>
      </w:pPr>
      <w:r>
        <w:rPr>
          <w:rFonts w:ascii="Calibri" w:cs="Calibri" w:eastAsia="Calibri" w:hAnsi="Calibri"/>
          <w:b w:val="false"/>
          <w:bCs w:val="false"/>
          <w:i w:val="false"/>
          <w:iCs w:val="false"/>
          <w:color w:val="222222"/>
          <w:sz w:val="23"/>
          <w:szCs w:val="23"/>
        </w:rPr>
        <w:t xml:space="preserve">8.  Business Model and Pricing</w:t>
      </w:r>
    </w:p>
    <w:p>
      <w:pPr>
        <w:spacing w:after="90" w:line="276"/>
        <w:jc w:val="left"/>
      </w:pPr>
      <w:r>
        <w:rPr>
          <w:rFonts w:ascii="Calibri" w:cs="Calibri" w:eastAsia="Calibri" w:hAnsi="Calibri"/>
          <w:b w:val="false"/>
          <w:bCs w:val="false"/>
          <w:i w:val="false"/>
          <w:iCs w:val="false"/>
          <w:color w:val="222222"/>
          <w:sz w:val="23"/>
          <w:szCs w:val="23"/>
        </w:rPr>
        <w:t xml:space="preserve">9.  Go-to-Market Strategy</w:t>
      </w:r>
    </w:p>
    <w:p>
      <w:pPr>
        <w:spacing w:after="90" w:line="276"/>
        <w:jc w:val="left"/>
      </w:pPr>
      <w:r>
        <w:rPr>
          <w:rFonts w:ascii="Calibri" w:cs="Calibri" w:eastAsia="Calibri" w:hAnsi="Calibri"/>
          <w:b w:val="false"/>
          <w:bCs w:val="false"/>
          <w:i w:val="false"/>
          <w:iCs w:val="false"/>
          <w:color w:val="222222"/>
          <w:sz w:val="23"/>
          <w:szCs w:val="23"/>
        </w:rPr>
        <w:t xml:space="preserve">10. Competitive Landscape</w:t>
      </w:r>
    </w:p>
    <w:p>
      <w:pPr>
        <w:spacing w:after="90" w:line="276"/>
        <w:jc w:val="left"/>
      </w:pPr>
      <w:r>
        <w:rPr>
          <w:rFonts w:ascii="Calibri" w:cs="Calibri" w:eastAsia="Calibri" w:hAnsi="Calibri"/>
          <w:b w:val="false"/>
          <w:bCs w:val="false"/>
          <w:i w:val="false"/>
          <w:iCs w:val="false"/>
          <w:color w:val="222222"/>
          <w:sz w:val="23"/>
          <w:szCs w:val="23"/>
        </w:rPr>
        <w:t xml:space="preserve">11. Operations, Team and Compliance</w:t>
      </w:r>
    </w:p>
    <w:p>
      <w:pPr>
        <w:spacing w:after="90" w:line="276"/>
        <w:jc w:val="left"/>
      </w:pPr>
      <w:r>
        <w:rPr>
          <w:rFonts w:ascii="Calibri" w:cs="Calibri" w:eastAsia="Calibri" w:hAnsi="Calibri"/>
          <w:b w:val="false"/>
          <w:bCs w:val="false"/>
          <w:i w:val="false"/>
          <w:iCs w:val="false"/>
          <w:color w:val="222222"/>
          <w:sz w:val="23"/>
          <w:szCs w:val="23"/>
        </w:rPr>
        <w:t xml:space="preserve">12. Financial Plan</w:t>
      </w:r>
    </w:p>
    <w:p>
      <w:pPr>
        <w:spacing w:after="90" w:line="276"/>
        <w:jc w:val="left"/>
      </w:pPr>
      <w:r>
        <w:rPr>
          <w:rFonts w:ascii="Calibri" w:cs="Calibri" w:eastAsia="Calibri" w:hAnsi="Calibri"/>
          <w:b w:val="false"/>
          <w:bCs w:val="false"/>
          <w:i w:val="false"/>
          <w:iCs w:val="false"/>
          <w:color w:val="222222"/>
          <w:sz w:val="23"/>
          <w:szCs w:val="23"/>
        </w:rPr>
        <w:t xml:space="preserve">13. Risk Analysis and Kill Criteria</w:t>
      </w:r>
    </w:p>
    <w:p>
      <w:pPr>
        <w:spacing w:after="90" w:line="276"/>
        <w:jc w:val="left"/>
      </w:pPr>
      <w:r>
        <w:rPr>
          <w:rFonts w:ascii="Calibri" w:cs="Calibri" w:eastAsia="Calibri" w:hAnsi="Calibri"/>
          <w:b w:val="false"/>
          <w:bCs w:val="false"/>
          <w:i w:val="false"/>
          <w:iCs w:val="false"/>
          <w:color w:val="222222"/>
          <w:sz w:val="23"/>
          <w:szCs w:val="23"/>
        </w:rPr>
        <w:t xml:space="preserve">14. Exit and Liquidity Strategy</w:t>
      </w:r>
    </w:p>
    <w:p>
      <w:pPr>
        <w:spacing w:after="90" w:line="276"/>
        <w:jc w:val="left"/>
      </w:pPr>
      <w:r>
        <w:rPr>
          <w:rFonts w:ascii="Calibri" w:cs="Calibri" w:eastAsia="Calibri" w:hAnsi="Calibri"/>
          <w:b w:val="false"/>
          <w:bCs w:val="false"/>
          <w:i w:val="false"/>
          <w:iCs w:val="false"/>
          <w:color w:val="222222"/>
          <w:sz w:val="23"/>
          <w:szCs w:val="23"/>
        </w:rPr>
        <w:t xml:space="preserve">15. Milestones: the 90-Day Evidence Plan and the Act-Based Roadmap</w:t>
      </w:r>
    </w:p>
    <w:p>
      <w:pPr>
        <w:spacing w:after="90" w:line="276"/>
        <w:jc w:val="left"/>
      </w:pPr>
      <w:r>
        <w:rPr>
          <w:rFonts w:ascii="Calibri" w:cs="Calibri" w:eastAsia="Calibri" w:hAnsi="Calibri"/>
          <w:b w:val="false"/>
          <w:bCs w:val="false"/>
          <w:i w:val="false"/>
          <w:iCs w:val="false"/>
          <w:color w:val="222222"/>
          <w:sz w:val="23"/>
          <w:szCs w:val="23"/>
        </w:rPr>
        <w:t xml:space="preserve">Appendix A: Regulatory Reference and Verification Notes</w:t>
      </w:r>
    </w:p>
    <w:p>
      <w:pPr>
        <w:spacing w:after="90" w:line="276"/>
        <w:jc w:val="left"/>
      </w:pPr>
      <w:r>
        <w:rPr>
          <w:rFonts w:ascii="Calibri" w:cs="Calibri" w:eastAsia="Calibri" w:hAnsi="Calibri"/>
          <w:b w:val="false"/>
          <w:bCs w:val="false"/>
          <w:i w:val="false"/>
          <w:iCs w:val="false"/>
          <w:color w:val="222222"/>
          <w:sz w:val="23"/>
          <w:szCs w:val="23"/>
        </w:rPr>
        <w:t xml:space="preserve">Appendix B: Glossary</w:t>
      </w:r>
    </w:p>
    <w:p>
      <w:pPr>
        <w:spacing w:after="90" w:line="276"/>
        <w:jc w:val="left"/>
      </w:pPr>
      <w:r>
        <w:rPr>
          <w:rFonts w:ascii="Calibri" w:cs="Calibri" w:eastAsia="Calibri" w:hAnsi="Calibri"/>
          <w:b w:val="false"/>
          <w:bCs w:val="false"/>
          <w:i w:val="false"/>
          <w:iCs w:val="false"/>
          <w:color w:val="222222"/>
          <w:sz w:val="23"/>
          <w:szCs w:val="23"/>
        </w:rPr>
        <w:t xml:space="preserve">Appendix C: The Ten-Field Underwriting Specification</w:t>
      </w:r>
    </w:p>
    <w:p>
      <w:pPr>
        <w:spacing w:after="160"/>
      </w:pPr>
    </w:p>
    <w:p>
      <w:pPr>
        <w:pStyle w:val="Heading2"/>
      </w:pPr>
      <w:r>
        <w:t xml:space="preserve">Important notices</w:t>
      </w:r>
    </w:p>
    <w:p>
      <w:pPr>
        <w:spacing w:after="140" w:line="276"/>
        <w:jc w:val="both"/>
      </w:pPr>
      <w:r>
        <w:rPr>
          <w:rFonts w:ascii="Calibri" w:cs="Calibri" w:eastAsia="Calibri" w:hAnsi="Calibri"/>
          <w:b w:val="false"/>
          <w:bCs w:val="false"/>
          <w:i w:val="false"/>
          <w:iCs w:val="false"/>
          <w:color w:val="222222"/>
          <w:sz w:val="22"/>
          <w:szCs w:val="22"/>
        </w:rPr>
        <w:t xml:space="preserve">This plan was prepared in July 2026 from publicly reported information on Nigeria's electronic invoicing mandate and banking-sector recapitalisation, as relayed by tax and financial publications, professional-services alerts and regulator statements. Regulatory thresholds, dates and penalty amounts are subject to change and several have already shifted during the rollout; every figure in Sections 3, 4 and Appendix A should be re-verified against primary sources and qualified Nigerian counsel before any commitment is made. All financial projections are illustrative planning scenarios, not forecasts. Naira amounts are converted at an assumed planning rate of NGN 1,450 to one US dollar. Nothing in this document constitutes legal, tax or investment advice.</w:t>
      </w:r>
    </w:p>
    <w:p>
      <w:pPr>
        <w:spacing w:after="140" w:line="276"/>
        <w:jc w:val="both"/>
      </w:pPr>
      <w:r>
        <w:rPr>
          <w:rFonts w:ascii="Calibri" w:cs="Calibri" w:eastAsia="Calibri" w:hAnsi="Calibri"/>
          <w:b/>
          <w:bCs/>
          <w:i w:val="false"/>
          <w:iCs w:val="false"/>
          <w:color w:val="222222"/>
          <w:sz w:val="22"/>
          <w:szCs w:val="22"/>
        </w:rPr>
        <w:t xml:space="preserve">Revision note (version 3.0): </w:t>
      </w:r>
      <w:r>
        <w:rPr>
          <w:rFonts w:ascii="Calibri" w:cs="Calibri" w:eastAsia="Calibri" w:hAnsi="Calibri"/>
          <w:b w:val="false"/>
          <w:bCs w:val="false"/>
          <w:i w:val="false"/>
          <w:iCs w:val="false"/>
          <w:color w:val="222222"/>
          <w:sz w:val="22"/>
          <w:szCs w:val="22"/>
        </w:rPr>
        <w:t xml:space="preserve">this version re-founds the company around its terminal thesis. Versions one and two described a compliance business with a financing adjacency; a third structured pressure test, conducted against post-deadline market evidence in July 2026, inverted that order. The compliance practice and platform of the earlier versions are retained in full as Act One, but they are now explicitly the customer-acquisition and data-acquisition engine for a verified-receivables credit-infrastructure business (Act Three), with the dataset itself as the bridging asset (Act Two). Material additions: the macro case in Section 3; endgame-driven design changes to Act One in Section 7; a financing revenue engine in Sections 8 and 12; bank design partners in Section 9; a second dual-licensed competitor in Section 10; and new credit-specific risks and gates in Sections 13 and 15.</w:t>
      </w:r>
    </w:p>
    <w:p>
      <w:pPr>
        <w:spacing w:after="140" w:line="276"/>
        <w:jc w:val="both"/>
      </w:pPr>
      <w:r>
        <w:rPr>
          <w:rFonts w:ascii="Calibri" w:cs="Calibri" w:eastAsia="Calibri" w:hAnsi="Calibri"/>
          <w:b/>
          <w:bCs/>
          <w:i w:val="false"/>
          <w:iCs w:val="false"/>
          <w:color w:val="222222"/>
          <w:sz w:val="22"/>
          <w:szCs w:val="22"/>
        </w:rPr>
        <w:t xml:space="preserve">Revision note (version 3.1): </w:t>
      </w:r>
      <w:r>
        <w:rPr>
          <w:rFonts w:ascii="Calibri" w:cs="Calibri" w:eastAsia="Calibri" w:hAnsi="Calibri"/>
          <w:b w:val="false"/>
          <w:bCs w:val="false"/>
          <w:i w:val="false"/>
          <w:iCs w:val="false"/>
          <w:color w:val="222222"/>
          <w:sz w:val="22"/>
          <w:szCs w:val="22"/>
        </w:rPr>
        <w:t xml:space="preserve">this point release incorporates a second independent review received in July 2026. Material changes: a third dual-licensed competitor, Doftwerks (the Stransact/RSM technology subsidiary), added and the competitive section reframed around neutrality, with a living register keyed to the official MBS provider directory (Section 10); the bank deliverable upgraded to a ten-field written underwriting specification and a buyer-confirmation pilot deliverable added (Section 15); the mid-2027 bank gate hardened to require draft facility economics; the single data-rights clause replaced by a three-layer consent architecture (Section 7.2); the settlement-data stack and the collection-account repayment rail specified (Sections 7.2 and 7.4); a Buyer Rails programme, a channel liability safe-harbor and three-audience narrative discipline added (Sections 8 and 9); first-loss red lines and risk-free crowding-out added to the register (Section 13); and a facilitation take-rate sensitivity table added (Section 12).</w:t>
      </w:r>
    </w:p>
    <w:p>
      <w:pPr>
        <w:spacing w:after="140" w:line="276"/>
        <w:jc w:val="both"/>
      </w:pPr>
      <w:r>
        <w:rPr>
          <w:rFonts w:ascii="Calibri" w:cs="Calibri" w:eastAsia="Calibri" w:hAnsi="Calibri"/>
          <w:b/>
          <w:bCs/>
          <w:i w:val="false"/>
          <w:iCs w:val="false"/>
          <w:color w:val="222222"/>
          <w:sz w:val="22"/>
          <w:szCs w:val="22"/>
        </w:rPr>
        <w:t xml:space="preserve">Revision note (version 3.2, terminal documentation pass): </w:t>
      </w:r>
      <w:r>
        <w:rPr>
          <w:rFonts w:ascii="Calibri" w:cs="Calibri" w:eastAsia="Calibri" w:hAnsi="Calibri"/>
          <w:b w:val="false"/>
          <w:bCs w:val="false"/>
          <w:i w:val="false"/>
          <w:iCs w:val="false"/>
          <w:color w:val="222222"/>
          <w:sz w:val="22"/>
          <w:szCs w:val="22"/>
        </w:rPr>
        <w:t xml:space="preserve">this release incorporates a third independent review and is designated the final pre-execution revision: from here the plan changes only when evidence does (a signed pilot, a counsel memo, a bank feedback memo, a provisional licence). Material changes: System Integrator accreditation surfaced as an explicit early gate, with the NITDA conditions, the one-third Nigerian shareholding constraint on the holding structure, and an advisory-versus-integration split in Act One (Sections 2.2, 7.1, 7.5, 11, 13, 15); the 90-day plan tiered P0/P1/P2 with a new Deliverable Zero (people) and Deliverable 1A (SI path) (Section 15); credit-observable and credit-visible defined as two dataset tiers, reconciling the roadmap and the financial plan (Sections 7.3, 12, 15); the bank track restaged as a four-date conditional sequence ending with a first facility in H1 2028 (Section 15); a mandatory settlement-source rule and a step-by-step collection-account rail added (Section 7.4); a conversion-funnel table added beside the take-rate table (Section 12); a named security-and-compliance cost envelope (Section 12.1); Pillarcraft added to the register and the largest-practices-build-not-buy segmentation stated (Section 10); and the ten-field underwriting specification published as Appendix C.</w:t>
      </w:r>
    </w:p>
    <w:p>
      <w:r>
        <w:br w:type="page"/>
      </w:r>
    </w:p>
    <w:p>
      <w:pPr>
        <w:pStyle w:val="Heading1"/>
      </w:pPr>
      <w:r>
        <w:t xml:space="preserve">1. Executive Summary</w:t>
      </w:r>
    </w:p>
    <w:p>
      <w:pPr>
        <w:spacing w:after="140" w:line="276"/>
        <w:jc w:val="both"/>
      </w:pPr>
      <w:r>
        <w:rPr>
          <w:rFonts w:ascii="Calibri" w:cs="Calibri" w:eastAsia="Calibri" w:hAnsi="Calibri"/>
          <w:b/>
          <w:bCs/>
          <w:i w:val="false"/>
          <w:iCs w:val="false"/>
          <w:color w:val="222222"/>
          <w:sz w:val="22"/>
          <w:szCs w:val="22"/>
        </w:rPr>
        <w:t xml:space="preserve">MeridianIQ is a credit-infrastructure company whose first product is tax compliance. </w:t>
      </w:r>
      <w:r>
        <w:rPr>
          <w:rFonts w:ascii="Calibri" w:cs="Calibri" w:eastAsia="Calibri" w:hAnsi="Calibri"/>
          <w:b w:val="false"/>
          <w:bCs w:val="false"/>
          <w:i w:val="false"/>
          <w:iCs w:val="false"/>
          <w:color w:val="222222"/>
          <w:sz w:val="22"/>
          <w:szCs w:val="22"/>
        </w:rPr>
        <w:t xml:space="preserve">Two events are colliding in Nigeria in 2026. The national e-invoicing mandate is creating, for the first time in the country's history, government-validated, cryptographically stamped, real-time revenue records for formal businesses. And the banking sector has just completed a mandatory recapitalisation, concluded on 31 March 2026 with NGN 4.65 trillion in fresh capital across 33 compliant banks, raised for the explicit purpose of expanding lending, including to small and medium enterprises, into a falling-rate environment. One fact makes Nigerian businesses visible; the other makes Nigerian banks hungry. MeridianIQ is built to be the infrastructure between the two.</w:t>
      </w:r>
    </w:p>
    <w:p>
      <w:pPr>
        <w:spacing w:after="140" w:line="276"/>
        <w:jc w:val="both"/>
      </w:pPr>
      <w:r>
        <w:rPr>
          <w:rFonts w:ascii="Calibri" w:cs="Calibri" w:eastAsia="Calibri" w:hAnsi="Calibri"/>
          <w:b w:val="false"/>
          <w:bCs w:val="false"/>
          <w:i w:val="false"/>
          <w:iCs w:val="false"/>
          <w:color w:val="222222"/>
          <w:sz w:val="22"/>
          <w:szCs w:val="22"/>
        </w:rPr>
        <w:t xml:space="preserve">The company executes in three acts. Act One, open now, is the compliance business described in earlier versions of this plan and retained here in full: an advisory and integration practice for the medium-taxpayer wave whose e-invoicing mandate took effect on 1 July 2026, followed by a white-label compliance platform distributed through accounting firms ahead of the July 2027 small-business wave. Act One generates cash from day one, requires no external capital, and is deliberately redesigned in this version to produce a second output alongside revenue: contractual data rights and an underwriting-grade dataset of stamped, validated invoices. Act Two is that dataset maturing: within eighteen to twenty-four months, MeridianIQ holds verified revenue histories for hundreds and then thousands of formal businesses, the exact input whose absence has killed every previous attempt at Nigerian SME credit. Act Three is the business those two acts earn: verified-receivables financing infrastructure, in which MeridianIQ originates, verifies and scores financing against stamped invoices with buyer confirmation, partner banks fund every naira, and MeridianIQ takes basis points on flow while never lending from its own balance sheet.</w:t>
      </w:r>
    </w:p>
    <w:p>
      <w:pPr>
        <w:spacing w:after="140" w:line="276"/>
        <w:jc w:val="both"/>
      </w:pPr>
      <w:r>
        <w:rPr>
          <w:rFonts w:ascii="Calibri" w:cs="Calibri" w:eastAsia="Calibri" w:hAnsi="Calibri"/>
          <w:b w:val="false"/>
          <w:bCs w:val="false"/>
          <w:i w:val="false"/>
          <w:iCs w:val="false"/>
          <w:color w:val="222222"/>
          <w:sz w:val="22"/>
          <w:szCs w:val="22"/>
        </w:rPr>
        <w:t xml:space="preserve">The strategic logic compounds the lessons of a deliberate, documented elimination process. Nigerian businesses do not pay for discretionary software but must comply with the invoicing law through some validated route; MeridianIQ monetizes the painful residue the free route leaves behind. Nigerian SME lending has always died on unverifiable revenue: loan stacking, manufactured transaction volumes, invisible cash flows. The NRS stamp changes the underwriting physics of the economy, with one honest caveat that shapes the whole design: the stamp validates reporting, not commercial truth, so buyer confirmation is built into the product from the first version. And Nigerian enforcement negotiates: only around a fifth of large taxpayers had integrated months past their deadline, and enforcement dates have already slipped. That finding, fatal to a plan whose revenue depends on deadline panic, is survivable for a plan whose terminal asset is a dataset that compounds even when enforcement is soft, and whose ultimate customers, the banks, face deployment pressure that exists today regardless of any tax deadline.</w:t>
      </w:r>
    </w:p>
    <w:p>
      <w:pPr>
        <w:pBdr>
          <w:top w:val="single" w:color="DDE7E4" w:sz="2" w:space="4"/>
          <w:bottom w:val="single" w:color="DDE7E4" w:sz="2" w:space="4"/>
          <w:left w:val="single" w:color="C9A227" w:sz="24" w:space="8"/>
          <w:right w:val="single" w:color="DDE7E4" w:sz="2" w:space="4"/>
        </w:pBdr>
        <w:shd w:fill="F2F6F5" w:color="auto" w:val="clear"/>
        <w:spacing w:after="200" w:before="160" w:line="276"/>
        <w:ind w:left="120" w:right="120"/>
        <w:jc w:val="left"/>
      </w:pPr>
      <w:r>
        <w:rPr>
          <w:rFonts w:ascii="Calibri" w:cs="Calibri" w:eastAsia="Calibri" w:hAnsi="Calibri"/>
          <w:b/>
          <w:bCs/>
          <w:i w:val="false"/>
          <w:iCs w:val="false"/>
          <w:color w:val="0A3833"/>
          <w:sz w:val="22"/>
          <w:szCs w:val="22"/>
        </w:rPr>
        <w:t xml:space="preserve">The three-act one-liner: </w:t>
      </w:r>
      <w:r>
        <w:rPr>
          <w:rFonts w:ascii="Calibri" w:cs="Calibri" w:eastAsia="Calibri" w:hAnsi="Calibri"/>
          <w:b w:val="false"/>
          <w:bCs w:val="false"/>
          <w:i w:val="false"/>
          <w:iCs w:val="false"/>
          <w:color w:val="333333"/>
          <w:sz w:val="22"/>
          <w:szCs w:val="22"/>
        </w:rPr>
        <w:t xml:space="preserve">compliance is the wedge · the stamped-invoice dataset is the asset · bank-funded SME credit is the business · multi-market replication is the exit. Governing rules: do not build ahead of proof; never lend from our own balance sheet; every contract carries clearly scoped data rights, with credit use only by explicit consent.</w:t>
      </w:r>
    </w:p>
    <w:p>
      <w:pPr>
        <w:spacing w:after="140" w:line="276"/>
        <w:jc w:val="both"/>
      </w:pPr>
      <w:r>
        <w:rPr>
          <w:rFonts w:ascii="Calibri" w:cs="Calibri" w:eastAsia="Calibri" w:hAnsi="Calibri"/>
          <w:b w:val="false"/>
          <w:bCs w:val="false"/>
          <w:i w:val="false"/>
          <w:iCs w:val="false"/>
          <w:color w:val="222222"/>
          <w:sz w:val="22"/>
          <w:szCs w:val="22"/>
        </w:rPr>
        <w:t xml:space="preserve">Illustrative base-case economics, detailed in Section 12, show roughly NGN 250 million of revenue in year two, financing facilitation fees appearing from year three as the dataset crosses underwriting thresholds, and roughly NGN 2.9 billion (about USD 2.0 million) of total revenue by year five, of which more than a third is high-margin infrastructure fees on some NGN 50 billion of facilitated financing volume. The business is designed to be funded by its own services revenue, with banks supplying all lending capital. The principal risks, treated with pre-committed kill criteria in Section 13, are the empirically demonstrated softness of enforcement timetables, a growing roster of dual-licensed competitors racing toward the same endgame, the operational difficulty of buyer confirmation at scale, stamp-level fraud that verification design must contain, and the dependency on securing bank design partners, without which Act Three is deferred and the company remains a profitable compliance firm, which the conservative scenario shows is sufficient on its own.</w:t>
      </w:r>
    </w:p>
    <w:p>
      <w:pPr>
        <w:pStyle w:val="Heading1"/>
      </w:pPr>
      <w:r>
        <w:t xml:space="preserve">2. Company Overview and the Three-Act Thesis</w:t>
      </w:r>
    </w:p>
    <w:p>
      <w:pPr>
        <w:pStyle w:val="Heading2"/>
      </w:pPr>
      <w:r>
        <w:t xml:space="preserve">2.1 Identity and mission</w:t>
      </w:r>
    </w:p>
    <w:p>
      <w:pPr>
        <w:spacing w:after="140" w:line="276"/>
        <w:jc w:val="both"/>
      </w:pPr>
      <w:r>
        <w:rPr>
          <w:rFonts w:ascii="Calibri" w:cs="Calibri" w:eastAsia="Calibri" w:hAnsi="Calibri"/>
          <w:b/>
          <w:bCs/>
          <w:i w:val="false"/>
          <w:iCs w:val="false"/>
          <w:color w:val="222222"/>
          <w:sz w:val="22"/>
          <w:szCs w:val="22"/>
        </w:rPr>
        <w:t xml:space="preserve">MeridianIQ</w:t>
      </w:r>
      <w:r>
        <w:rPr>
          <w:rFonts w:ascii="Calibri" w:cs="Calibri" w:eastAsia="Calibri" w:hAnsi="Calibri"/>
          <w:b w:val="false"/>
          <w:bCs w:val="false"/>
          <w:i w:val="false"/>
          <w:iCs w:val="false"/>
          <w:color w:val="222222"/>
          <w:sz w:val="22"/>
          <w:szCs w:val="22"/>
        </w:rPr>
        <w:t xml:space="preserve"> exists to make formality pay in Nigeria: first by making regulatory compliance the easiest part of running a formal business, then by converting the proof of that compliance into access to credit. Its year-one identity is stated plainly and enforced in budgeting: a compliance implementation firm that earns the right to become software, building software that earns the right to become infrastructure.</w:t>
      </w:r>
    </w:p>
    <w:p>
      <w:pPr>
        <w:pStyle w:val="Heading2"/>
      </w:pPr>
      <w:r>
        <w:t xml:space="preserve">2.2 Legal structure</w:t>
      </w:r>
    </w:p>
    <w:p>
      <w:pPr>
        <w:spacing w:after="140" w:line="276"/>
        <w:jc w:val="both"/>
      </w:pPr>
      <w:r>
        <w:rPr>
          <w:rFonts w:ascii="Calibri" w:cs="Calibri" w:eastAsia="Calibri" w:hAnsi="Calibri"/>
          <w:b w:val="false"/>
          <w:bCs w:val="false"/>
          <w:i w:val="false"/>
          <w:iCs w:val="false"/>
          <w:color w:val="222222"/>
          <w:sz w:val="22"/>
          <w:szCs w:val="22"/>
        </w:rPr>
        <w:t xml:space="preserve">The operating company is a Nigerian private limited company domiciled in Lagos, holding all local accreditations, contracts and staff. A foreign holding company (Delaware or UK) is layered above the Nigerian entity before any regional expansion or institutional conversation, preserving optionality for a dollar-denominated exit, and is sequenced, per Section 7.5, so that the NITDA-licensed operating entity retains the minimum one-third Nigerian shareholding its accreditation requires; the point at which that condition bites is a structuring question assigned to counsel before any step is taken. Act Three is structured from the outset as a technology and services provider to regulated lenders: MeridianIQ does not take deposits, does not lend, and does not require a lending licence; partner banks hold every loan. This is a design constraint, not a temporary posture, and it is the direct lesson of the failed generation of Nigerian SME lenders.</w:t>
      </w:r>
    </w:p>
    <w:p>
      <w:pPr>
        <w:pStyle w:val="Heading2"/>
      </w:pPr>
      <w:r>
        <w:t xml:space="preserve">2.3 How this thesis was reached</w:t>
      </w:r>
    </w:p>
    <w:p>
      <w:pPr>
        <w:spacing w:after="140" w:line="276"/>
        <w:jc w:val="both"/>
      </w:pPr>
      <w:r>
        <w:rPr>
          <w:rFonts w:ascii="Calibri" w:cs="Calibri" w:eastAsia="Calibri" w:hAnsi="Calibri"/>
          <w:b w:val="false"/>
          <w:bCs w:val="false"/>
          <w:i w:val="false"/>
          <w:iCs w:val="false"/>
          <w:color w:val="222222"/>
          <w:sz w:val="22"/>
          <w:szCs w:val="22"/>
        </w:rPr>
        <w:t xml:space="preserve">This plan is the product of a documented elimination process across Nigerian fintech, followed by three structured pressure tests of the survivor. Consumer fintech fell to a subsidy war already won; cross-border payments fell to policy success compressing the desperation premium and a crowded consensus trade; horizontal SME software fell to fragile customers, free incumbent products and unpayable naira subscriptions. The compliance thesis survived because its demand is compelled rather than discovered. The third pressure test then found the two facts that reordered the company: enforcement timetables are demonstrably soft, which weakens deadline-driven software revenue, and the mandate's true output, a verified revenue dataset, arrives precisely as a recapitalised banking system needs deployable, de-risked SME assets. The conclusion was not to abandon the compliance business but to demote it, from destination to first act. MeridianIQ is built precisely and only on that reordering, under one governing rule imported from independent review and enforced through the gates in Section 15: do not build ahead of proof.</w:t>
      </w:r>
    </w:p>
    <w:p>
      <w:pPr>
        <w:pStyle w:val="Heading1"/>
      </w:pPr>
      <w:r>
        <w:t xml:space="preserve">3. The Two Colliding Facts</w:t>
      </w:r>
    </w:p>
    <w:p>
      <w:pPr>
        <w:pStyle w:val="Heading2"/>
      </w:pPr>
      <w:r>
        <w:t xml:space="preserve">3.1 Fact one: the mandate is manufacturing a dataset that has never existed</w:t>
      </w:r>
    </w:p>
    <w:p>
      <w:pPr>
        <w:spacing w:after="140" w:line="276"/>
        <w:jc w:val="both"/>
      </w:pPr>
      <w:r>
        <w:rPr>
          <w:rFonts w:ascii="Calibri" w:cs="Calibri" w:eastAsia="Calibri" w:hAnsi="Calibri"/>
          <w:b w:val="false"/>
          <w:bCs w:val="false"/>
          <w:i w:val="false"/>
          <w:iCs w:val="false"/>
          <w:color w:val="222222"/>
          <w:sz w:val="22"/>
          <w:szCs w:val="22"/>
        </w:rPr>
        <w:t xml:space="preserve">Every invoice cleared through Nigeria's Merchant-Buyer Solution is validated by the tax authority, assigned an Invoice Reference Number, and returned bearing a QR code and a Cryptographic Stamp Identifier. In aggregate, this is something Nigeria has never had: government-validated, tamper-evident, near-real-time revenue records for formal businesses, with counterparty identities, line items and timestamps. Recall why every prior generation of Nigerian SME credit died: revenue could not be verified. Lenders were stacked by borrowers holding three loans against the same cash flow; merchants pumped fake volume through their own terminals to manufacture creditworthiness; the informal economy simply had no records at all. A stamped invoice history changes the underwriting physics, subject to one caveat that this plan treats as a design requirement rather than a footnote: the stamp validates that an invoice was reported, not that goods were delivered or that the counterparty is genuine. Related-party invoice fabrication remains possible. Act Three therefore never underwrites the stamp alone; it underwrites the stamp plus buyer confirmation plus observed payment behaviour, which is why the buyer-confirmation workflow is built into the Act One product from its first release.</w:t>
      </w:r>
    </w:p>
    <w:p>
      <w:pPr>
        <w:pStyle w:val="Heading2"/>
      </w:pPr>
      <w:r>
        <w:t xml:space="preserve">3.2 Fact two: the banks have just been forced to load the other side of the trade</w:t>
      </w:r>
    </w:p>
    <w:p>
      <w:pPr>
        <w:spacing w:after="140" w:line="276"/>
        <w:jc w:val="both"/>
      </w:pPr>
      <w:r>
        <w:rPr>
          <w:rFonts w:ascii="Calibri" w:cs="Calibri" w:eastAsia="Calibri" w:hAnsi="Calibri"/>
          <w:b w:val="false"/>
          <w:bCs w:val="false"/>
          <w:i w:val="false"/>
          <w:iCs w:val="false"/>
          <w:color w:val="222222"/>
          <w:sz w:val="22"/>
          <w:szCs w:val="22"/>
        </w:rPr>
        <w:t xml:space="preserve">Nigeria's banking recapitalisation concluded on 31 March 2026, with the sector raising NGN 4.65 trillion in fresh capital and 33 banks meeting the new minimum thresholds, 72.55 percent of it from domestic investors. The central bank's stated purpose is a system positioned to support economic growth, and commentary around the programme is explicit that the fresh capital is expected to expand lending to key sectors including small businesses, with analysts publicly warning that some banks may be tempted to lend recklessly after raising significant capital and urging the authorities to guide credit toward SMEs. Monetary conditions are turning supportive: the policy rate has been eased from its 27.5 percent peak to 26.5 percent by February 2026 as inflation fell to roughly 15 percent. The system, in short, holds a historic quantity of freshly mandated equity that must be deployed into risk assets, at the exact moment the first trustworthy SME revenue dataset in the country's history begins to accumulate. Banks cannot originate or verify long-tail SME receivables economically; that is the layer they will rent.</w:t>
      </w:r>
    </w:p>
    <w:p>
      <w:pPr>
        <w:pStyle w:val="Heading2"/>
      </w:pPr>
      <w:r>
        <w:t xml:space="preserve">3.3 The toll booth</w:t>
      </w:r>
    </w:p>
    <w:p>
      <w:pPr>
        <w:spacing w:after="140" w:line="276"/>
        <w:jc w:val="both"/>
      </w:pPr>
      <w:r>
        <w:rPr>
          <w:rFonts w:ascii="Calibri" w:cs="Calibri" w:eastAsia="Calibri" w:hAnsi="Calibri"/>
          <w:b w:val="false"/>
          <w:bCs w:val="false"/>
          <w:i w:val="false"/>
          <w:iCs w:val="false"/>
          <w:color w:val="222222"/>
          <w:sz w:val="22"/>
          <w:szCs w:val="22"/>
        </w:rPr>
        <w:t xml:space="preserve">One fact makes businesses visible. The other makes banks hungry. The durable business is the toll booth between them: the origination, verification and scoring layer through which recapitalised balance sheets reach stamped, confirmed, financeable receivables. Compliance software is how MeridianIQ pays for its seat at that toll booth, and it is a seat that must be paid for, because the dataset cannot be bought or scraped; it can only be earned client by client, contract by contract, with data rights negotiated at signature. That is Act One's real job.</w:t>
      </w:r>
    </w:p>
    <w:p>
      <w:pPr>
        <w:pStyle w:val="Heading1"/>
      </w:pPr>
      <w:r>
        <w:t xml:space="preserve">4. The Regulatory Opportunity</w:t>
      </w:r>
    </w:p>
    <w:p>
      <w:pPr>
        <w:pStyle w:val="Heading2"/>
      </w:pPr>
      <w:r>
        <w:t xml:space="preserve">4.1 What the mandate is</w:t>
      </w:r>
    </w:p>
    <w:p>
      <w:pPr>
        <w:spacing w:after="140" w:line="276"/>
        <w:jc w:val="both"/>
      </w:pPr>
      <w:r>
        <w:rPr>
          <w:rFonts w:ascii="Calibri" w:cs="Calibri" w:eastAsia="Calibri" w:hAnsi="Calibri"/>
          <w:b w:val="false"/>
          <w:bCs w:val="false"/>
          <w:i w:val="false"/>
          <w:iCs w:val="false"/>
          <w:color w:val="222222"/>
          <w:sz w:val="22"/>
          <w:szCs w:val="22"/>
        </w:rPr>
        <w:t xml:space="preserve">Under the 2025 Tax Reform Acts (in force from January 2026) and the fiscalisation provisions of the Nigeria Tax Act and Nigeria Tax Administration Act, the Nigeria Revenue Service (formerly FIRS) operates the national e-invoicing system known as the Merchant-Buyer Solution. Invoices are transmitted for validation before reaching the buyer, and are returned bearing an Invoice Reference Number, QR code and Cryptographic Stamp Identifier. The system follows the Peppol standard (BIS Billing 3.0, UBL), with the authority designated Nigeria's national Peppol Authority in late 2025. Businesses connect through the government's interfaces or through Access Point Providers and System Integrators accredited under NITDA guidelines. Business-to-consumer transactions above NGN 50,000 must be reported within 24 hours, alongside the business-to-business pre-clearance regime.</w:t>
      </w:r>
    </w:p>
    <w:p>
      <w:pPr>
        <w:pStyle w:val="Heading2"/>
      </w:pPr>
      <w:r>
        <w:t xml:space="preserve">4.2 The rollout timetable and its observed behaviour</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120"/>
        <w:gridCol w:w="2313"/>
        <w:gridCol w:w="2506"/>
        <w:gridCol w:w="2699"/>
      </w:tblGrid>
      <w:tr>
        <w:trPr>
          <w:tblHeader/>
        </w:trPr>
        <w:tc>
          <w:tcPr>
            <w:tcW w:type="dxa" w:w="2120"/>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Segment</w:t>
            </w:r>
          </w:p>
        </w:tc>
        <w:tc>
          <w:tcPr>
            <w:tcW w:type="dxa" w:w="2313"/>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Annual turnover</w:t>
            </w:r>
          </w:p>
        </w:tc>
        <w:tc>
          <w:tcPr>
            <w:tcW w:type="dxa" w:w="2506"/>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Mandatory go-live</w:t>
            </w:r>
          </w:p>
        </w:tc>
        <w:tc>
          <w:tcPr>
            <w:tcW w:type="dxa" w:w="269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Enforcement</w:t>
            </w:r>
          </w:p>
        </w:tc>
      </w:tr>
      <w:tr>
        <w:tc>
          <w:tcPr>
            <w:tcW w:type="dxa" w:w="2120"/>
            <w:vAlign w:val="center"/>
          </w:tcPr>
          <w:p>
            <w:pPr>
              <w:spacing w:after="40" w:before="40" w:line="252"/>
              <w:jc w:val="left"/>
            </w:pPr>
            <w:r>
              <w:rPr>
                <w:rFonts w:ascii="Calibri" w:cs="Calibri" w:eastAsia="Calibri" w:hAnsi="Calibri"/>
                <w:b/>
                <w:bCs/>
                <w:i w:val="false"/>
                <w:iCs w:val="false"/>
                <w:color w:val="222222"/>
                <w:sz w:val="19"/>
                <w:szCs w:val="19"/>
              </w:rPr>
              <w:t xml:space="preserve">Large taxpayers</w:t>
            </w:r>
          </w:p>
        </w:tc>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5 billion and above</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 November 2025 (extended from August)</w:t>
            </w:r>
          </w:p>
        </w:tc>
        <w:tc>
          <w:tcPr>
            <w:tcW w:type="dxa" w:w="269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Slid from January 2026 to a post-go-live review through March, with enforcement reported from April and pressure continuing into July 2026</w:t>
            </w:r>
          </w:p>
        </w:tc>
      </w:tr>
      <w:tr>
        <w:tc>
          <w:tcPr>
            <w:tcW w:type="dxa" w:w="2120"/>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Medium taxpayers</w:t>
            </w:r>
          </w:p>
        </w:tc>
        <w:tc>
          <w:tcPr>
            <w:tcW w:type="dxa" w:w="231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1 billion to 5 billion</w:t>
            </w:r>
          </w:p>
        </w:tc>
        <w:tc>
          <w:tcPr>
            <w:tcW w:type="dxa" w:w="2506"/>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1 July 2026 (live)</w:t>
            </w:r>
          </w:p>
        </w:tc>
        <w:tc>
          <w:tcPr>
            <w:tcW w:type="dxa" w:w="269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January to March 2027</w:t>
            </w:r>
          </w:p>
        </w:tc>
      </w:tr>
      <w:tr>
        <w:tc>
          <w:tcPr>
            <w:tcW w:type="dxa" w:w="2120"/>
            <w:vAlign w:val="center"/>
          </w:tcPr>
          <w:p>
            <w:pPr>
              <w:spacing w:after="40" w:before="40" w:line="252"/>
              <w:jc w:val="left"/>
            </w:pPr>
            <w:r>
              <w:rPr>
                <w:rFonts w:ascii="Calibri" w:cs="Calibri" w:eastAsia="Calibri" w:hAnsi="Calibri"/>
                <w:b/>
                <w:bCs/>
                <w:i w:val="false"/>
                <w:iCs w:val="false"/>
                <w:color w:val="222222"/>
                <w:sz w:val="19"/>
                <w:szCs w:val="19"/>
              </w:rPr>
              <w:t xml:space="preserve">Emerging / small taxpayers</w:t>
            </w:r>
          </w:p>
        </w:tc>
        <w:tc>
          <w:tcPr>
            <w:tcW w:type="dxa" w:w="231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Below NGN 1 billion</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 July 2027</w:t>
            </w:r>
          </w:p>
        </w:tc>
        <w:tc>
          <w:tcPr>
            <w:tcW w:type="dxa" w:w="269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January to March 2028</w:t>
            </w:r>
          </w:p>
        </w:tc>
      </w:tr>
      <w:tr>
        <w:tc>
          <w:tcPr>
            <w:tcW w:type="dxa" w:w="2120"/>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Micro / below VAT threshold</w:t>
            </w:r>
          </w:p>
        </w:tc>
        <w:tc>
          <w:tcPr>
            <w:tcW w:type="dxa" w:w="231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Below the statutory floor (Section 6.2)</w:t>
            </w:r>
          </w:p>
        </w:tc>
        <w:tc>
          <w:tcPr>
            <w:tcW w:type="dxa" w:w="250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Currently exempt</w:t>
            </w:r>
          </w:p>
        </w:tc>
        <w:tc>
          <w:tcPr>
            <w:tcW w:type="dxa" w:w="269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Full rollout completes by 2028</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The observed behaviour matters as much as the published dates. Of roughly 5,000 large taxpayers in scope, only about 1,000 had completed integration as of early 2026, months past their go-live, and the enforcement date for that cohort has already moved. This plan therefore treats the timetable as soft and the mandate as durable, a distinction with a hard number behind it: the tax authority collected NGN 15.8 trillion in the first five months of 2026, up 49 percent year on year, and a state being paid like that does not abandon the machine. Soft timetables delay compliance revenue; they do not delay the deployment pressure on recapitalised banks, and they merely slow, rather than stop, the accumulation of the dataset.</w:t>
      </w:r>
    </w:p>
    <w:p>
      <w:pPr>
        <w:pStyle w:val="Heading2"/>
      </w:pPr>
      <w:r>
        <w:t xml:space="preserve">4.3 The teeth: penalties and the VAT contagion engine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891"/>
        <w:gridCol w:w="6747"/>
      </w:tblGrid>
      <w:tr>
        <w:trPr>
          <w:tblHeader/>
        </w:trPr>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Provision</w:t>
            </w:r>
          </w:p>
        </w:tc>
        <w:tc>
          <w:tcPr>
            <w:tcW w:type="dxa" w:w="6747"/>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Consequence of non-compliance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Nigeria Tax Administration Act, s.103</w:t>
            </w:r>
          </w:p>
        </w:tc>
        <w:tc>
          <w:tcPr>
            <w:tcW w:type="dxa" w:w="6747"/>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Refusing to allow deployment of the tax authority's technology within 30 days of notice: NGN 1,000,000 penalty on the first day and NGN 10,000 for each further day of default.</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Nigeria Tax Administration Act, s.104</w:t>
            </w:r>
          </w:p>
        </w:tc>
        <w:tc>
          <w:tcPr>
            <w:tcW w:type="dxa" w:w="6747"/>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Failing to process taxable supplies through the fiscalisation system: NGN 200,000 penalty plus 100 percent of the tax due plus interest at the prevailing CBN monetary policy rate.</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VAT administration</w:t>
            </w:r>
          </w:p>
        </w:tc>
        <w:tc>
          <w:tcPr>
            <w:tcW w:type="dxa" w:w="6747"/>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Input VAT cannot be reclaimed on purchases not supported by validated e-invoices, in either direction: unstamped supplier invoices become the buyer's cost. Compliance is commercially contagious along supply chains, independent of inspectors.</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The third row does double duty in version three. It remains the demand engine for Act One, since large buyers protecting input credits will police their suppliers regardless of enforcement politics. And it is the seed of Act Three, because a buyer that confirms an invoice to protect its VAT position is simultaneously performing the commercial-truth verification that makes the same invoice financeable. The compliance workflow and the credit workflow are the same workflow, observed twice.</w:t>
      </w:r>
    </w:p>
    <w:p>
      <w:pPr>
        <w:pStyle w:val="Heading1"/>
      </w:pPr>
      <w:r>
        <w:t xml:space="preserve">5. Problem Statement</w:t>
      </w:r>
    </w:p>
    <w:p>
      <w:pPr>
        <w:spacing w:after="140" w:line="276"/>
        <w:jc w:val="both"/>
      </w:pPr>
      <w:r>
        <w:rPr>
          <w:rFonts w:ascii="Calibri" w:cs="Calibri" w:eastAsia="Calibri" w:hAnsi="Calibri"/>
          <w:b w:val="false"/>
          <w:bCs w:val="false"/>
          <w:i w:val="false"/>
          <w:iCs w:val="false"/>
          <w:color w:val="222222"/>
          <w:sz w:val="22"/>
          <w:szCs w:val="22"/>
        </w:rPr>
        <w:t xml:space="preserve">For the affected business, the mandate converts invoicing from a private habit into a regulated, technical, penalty-backed process it has no capability to run: structured formats, accredited transmission, validation failures, cryptographic archives, supplier verification to protect its own VAT claims. It first hears about most of this late, and the cost of error is a six-figure penalty plus the tax plus interest, or trapped VAT. That is the Act One problem, unchanged from earlier versions.</w:t>
      </w:r>
    </w:p>
    <w:p>
      <w:pPr>
        <w:spacing w:after="140" w:line="276"/>
        <w:jc w:val="both"/>
      </w:pPr>
      <w:r>
        <w:rPr>
          <w:rFonts w:ascii="Calibri" w:cs="Calibri" w:eastAsia="Calibri" w:hAnsi="Calibri"/>
          <w:b w:val="false"/>
          <w:bCs w:val="false"/>
          <w:i w:val="false"/>
          <w:iCs w:val="false"/>
          <w:color w:val="222222"/>
          <w:sz w:val="22"/>
          <w:szCs w:val="22"/>
        </w:rPr>
        <w:t xml:space="preserve">For the accountant, the mandate is a threat and a windfall at once: clients expect the firm to solve e-invoicing, and almost no firm can build integrations to a Peppol-based national platform. A practice with eighty affected clients faces eighty projects it cannot staff. It needs a tool it can put its own name on. That is the channel problem, also unchanged.</w:t>
      </w:r>
    </w:p>
    <w:p>
      <w:pPr>
        <w:spacing w:after="140" w:line="276"/>
        <w:jc w:val="both"/>
      </w:pPr>
      <w:r>
        <w:rPr>
          <w:rFonts w:ascii="Calibri" w:cs="Calibri" w:eastAsia="Calibri" w:hAnsi="Calibri"/>
          <w:b w:val="false"/>
          <w:bCs w:val="false"/>
          <w:i w:val="false"/>
          <w:iCs w:val="false"/>
          <w:color w:val="222222"/>
          <w:sz w:val="22"/>
          <w:szCs w:val="22"/>
        </w:rPr>
        <w:t xml:space="preserve">Version three adds the two actors the earlier versions under-served. The bank has just been forced to raise capital it must now deploy, is under public and policy pressure to lend to SMEs, and cannot do so at acceptable risk because it cannot verify long-tail revenue or police invoice fraud economically; its cost of origination exceeds its margin on small tickets. And the formal SME is creditworthy but invisible: it now generates stamped, validated revenue records for the tax authority, yet no lender can see or trust them in underwritable form. Between a bank that cannot see and a business that cannot be seen sits a missing layer of origination, verification and scoring. MeridianIQ is that layer; the compliance business is how it gets built without venture capital.</w:t>
      </w:r>
    </w:p>
    <w:p>
      <w:pPr>
        <w:pStyle w:val="Heading1"/>
      </w:pPr>
      <w:r>
        <w:t xml:space="preserve">6. Market Analysis</w:t>
      </w:r>
    </w:p>
    <w:p>
      <w:pPr>
        <w:pStyle w:val="Heading2"/>
      </w:pPr>
      <w:r>
        <w:t xml:space="preserve">6.1 The compliance market (Act One)</w:t>
      </w:r>
    </w:p>
    <w:p>
      <w:pPr>
        <w:spacing w:after="140" w:line="276"/>
        <w:jc w:val="both"/>
      </w:pPr>
      <w:r>
        <w:rPr>
          <w:rFonts w:ascii="Calibri" w:cs="Calibri" w:eastAsia="Calibri" w:hAnsi="Calibri"/>
          <w:b w:val="false"/>
          <w:bCs w:val="false"/>
          <w:i w:val="false"/>
          <w:iCs w:val="false"/>
          <w:color w:val="222222"/>
          <w:sz w:val="22"/>
          <w:szCs w:val="22"/>
        </w:rPr>
        <w:t xml:space="preserve">Planning estimates, to be validated through the accountant channel: 2,000 to 4,000 large taxpayers (not a MeridianIQ priority); 8,000 to 15,000 medium taxpayers, mandatory since 1 July 2026, buying advisory and integration under deadline and supply-chain pressure; 80,000 to 150,000-plus small taxpayers arriving July 2027, reachable only through the roughly 3,000 to 6,000 accounting and tax practices that constitute the channel. Within the medium wave, the first-year ideal customer is narrower still: business-to-business suppliers to large taxpayers, because their buyers' VAT input-credit exposure converts the mandate into commercial pressure ahead of any inspector, and because their receivables are the first to become financeable in Act Three. Client selection is therefore an underwriting decision from day one.</w:t>
      </w:r>
    </w:p>
    <w:p>
      <w:pPr>
        <w:pStyle w:val="Heading2"/>
      </w:pPr>
      <w:r>
        <w:t xml:space="preserve">6.2 The threshold question (material to sizing)</w:t>
      </w:r>
    </w:p>
    <w:p>
      <w:pPr>
        <w:spacing w:after="140" w:line="276"/>
        <w:jc w:val="both"/>
      </w:pPr>
      <w:r>
        <w:rPr>
          <w:rFonts w:ascii="Calibri" w:cs="Calibri" w:eastAsia="Calibri" w:hAnsi="Calibri"/>
          <w:b w:val="false"/>
          <w:bCs w:val="false"/>
          <w:i w:val="false"/>
          <w:iCs w:val="false"/>
          <w:color w:val="222222"/>
          <w:sz w:val="22"/>
          <w:szCs w:val="22"/>
        </w:rPr>
        <w:t xml:space="preserve">Authoritative secondary sources conflict on the statutory floor of the compliance net: major-firm summaries report the small-company relief at NGN 100 million turnover, while others, citing section 56 of the Nigeria Tax Act, report NGN 50 million, and the Tax Administration Act separately defines a small business at NGN 100 million; the VAT registration threshold is meanwhile reported at NGN 50 million even as companies up to NGN 100 million are exempt from charging VAT. Until the counsel memo (Section 15, deliverable eight) settles the effective floor, small-wave sizing is treated as a band: a NGN 50 million floor supports the estimate above; an effective NGN 100 million floor could roughly halve it. One statutory detail cuts favourably: professional service providers are excluded from the small-company reliefs regardless of size, placing accounting, law and consulting firms inside the compliance net in their own right. The channel is also a customer segment.</w:t>
      </w:r>
    </w:p>
    <w:p>
      <w:pPr>
        <w:pStyle w:val="Heading2"/>
      </w:pPr>
      <w:r>
        <w:t xml:space="preserve">6.3 The financing market (Act Three)</w:t>
      </w:r>
    </w:p>
    <w:p>
      <w:pPr>
        <w:spacing w:after="140" w:line="276"/>
        <w:jc w:val="both"/>
      </w:pPr>
      <w:r>
        <w:rPr>
          <w:rFonts w:ascii="Calibri" w:cs="Calibri" w:eastAsia="Calibri" w:hAnsi="Calibri"/>
          <w:b w:val="false"/>
          <w:bCs w:val="false"/>
          <w:i w:val="false"/>
          <w:iCs w:val="false"/>
          <w:color w:val="222222"/>
          <w:sz w:val="22"/>
          <w:szCs w:val="22"/>
        </w:rPr>
        <w:t xml:space="preserve">Nigeria's SME financing gap is estimated in the tens of billions of dollars by every published attempt to measure it; precision is unnecessary, because Act Three is sized bottom-up from MeridianIQ's own base rather than top-down from the gap. The serviceable Act Three market is the receivables of platform clients who supply compliant large buyers: invoices that are stamped, buyer-confirmed and payment-tracked inside MeridianIQ's own workflow. Illustratively, 1,000 such clients averaging NGN 40 million of financeable annual receivables each represent NGN 40 billion of annual flow; at a blended facilitation take of around two percent, each thousand clients of this profile supports roughly NGN 800 million of infrastructure revenue, funded entirely by partner banks. The binding constraints are dataset density and verification quality, not demand: Nigerian SMEs already pay far more than bank rates in the informal market, and the recapitalised banks' appetite is documented.</w:t>
      </w:r>
    </w:p>
    <w:p>
      <w:pPr>
        <w:pStyle w:val="Heading2"/>
      </w:pPr>
      <w:r>
        <w:t xml:space="preserve">6.4 Market timing dynamics</w:t>
      </w:r>
    </w:p>
    <w:p>
      <w:pPr>
        <w:spacing w:after="140" w:line="276"/>
        <w:jc w:val="both"/>
      </w:pPr>
      <w:r>
        <w:rPr>
          <w:rFonts w:ascii="Calibri" w:cs="Calibri" w:eastAsia="Calibri" w:hAnsi="Calibri"/>
          <w:b w:val="false"/>
          <w:bCs w:val="false"/>
          <w:i w:val="false"/>
          <w:iCs w:val="false"/>
          <w:color w:val="222222"/>
          <w:sz w:val="22"/>
          <w:szCs w:val="22"/>
        </w:rPr>
        <w:t xml:space="preserve">Compliance markets move in step-functions around enforcement dates, and Nigeria's dates move; version three therefore plans revenue on supply-chain contagion, which is continuous, rather than deadline panic, which is political. The credit market moves on a different clock entirely: bank deployment pressure began the day recapitalisation closed and compounds with every month of falling rates. The two clocks intersect in Act Two: each month of Act One operation adds businesses whose stamped history crosses underwriting thresholds, so that by the time the small-wave enforcement date arrives in January 2028, the dataset, not the deadline, is the company's principal asset. The precedent pattern holds across Brazil, Mexico and India: the mandate creates the data infrastructure, and the durable fortunes are made by those who convert compliance exhaust into financial services.</w:t>
      </w:r>
    </w:p>
    <w:p>
      <w:pPr>
        <w:pStyle w:val="Heading1"/>
      </w:pPr>
      <w:r>
        <w:t xml:space="preserve">7. Product and Services</w:t>
      </w:r>
    </w:p>
    <w:p>
      <w:pPr>
        <w:pStyle w:val="Heading2"/>
      </w:pPr>
      <w:r>
        <w:t xml:space="preserve">7.1 Act One: the compliance wedge (live now)</w:t>
      </w:r>
    </w:p>
    <w:p>
      <w:pPr>
        <w:spacing w:after="140" w:line="276"/>
        <w:jc w:val="both"/>
      </w:pPr>
      <w:r>
        <w:rPr>
          <w:rFonts w:ascii="Calibri" w:cs="Calibri" w:eastAsia="Calibri" w:hAnsi="Calibri"/>
          <w:b w:val="false"/>
          <w:bCs w:val="false"/>
          <w:i w:val="false"/>
          <w:iCs w:val="false"/>
          <w:color w:val="222222"/>
          <w:sz w:val="22"/>
          <w:szCs w:val="22"/>
        </w:rPr>
        <w:t xml:space="preserve">Act One has two service lines with different regulatory footings. The advisory line, accreditation-independent and sellable from day one: a fixed-fee compliance readiness assessment; a supplier VAT-risk check, deliberately the cheapest paid product in the company, which audits a buyer-side client for exposure to unvalidated supplier invoices, quantifies the input VAT at risk, and generates a qualified lead list of non-compliant suppliers; a fixed-scope integration project connecting the client's invoicing or ERP environment to the national platform through accredited APP rails; and an ongoing compliance retainer. The integration line, connecting client systems to the national platform, is System Integrator activity under the NITDA guideline and proceeds only under MeridianIQ’s own provisional SI licence or a counsel-approved delivery model beneath an accredited partner (Section 7.5, Deliverable 1A). Every engagement feeds the template library. The platform: a multi-tenant, white-label compliance product whose paying customer is the accounting firm, living strictly above the free government portal: guided invoicing and bulk import, APP transmission with human-readable failure resolution, a stamped-invoice vault, the VAT shield that verifies supplier invoices before payment, three-way reconciliation, multi-client dashboards for the accountant, and ERP connectors prioritized by what engagements reveal. The Compliance Desk tier wraps the software in a named human operator for the segment that buys service, not self-serve.</w:t>
      </w:r>
    </w:p>
    <w:p>
      <w:pPr>
        <w:pStyle w:val="Heading2"/>
      </w:pPr>
      <w:r>
        <w:t xml:space="preserve">7.2 The four endgame-driven design changes</w:t>
      </w:r>
    </w:p>
    <w:p>
      <w:pPr>
        <w:spacing w:after="140" w:line="276"/>
        <w:jc w:val="both"/>
      </w:pPr>
      <w:r>
        <w:rPr>
          <w:rFonts w:ascii="Calibri" w:cs="Calibri" w:eastAsia="Calibri" w:hAnsi="Calibri"/>
          <w:b w:val="false"/>
          <w:bCs w:val="false"/>
          <w:i w:val="false"/>
          <w:iCs w:val="false"/>
          <w:color w:val="222222"/>
          <w:sz w:val="22"/>
          <w:szCs w:val="22"/>
        </w:rPr>
        <w:t xml:space="preserve">Version three changes Act One's design in four specific ways, none of which delays launch. First, data rights, structured as three consent layers rather than one clause. Layer one, compliance processing (filing, validation, vault, reconciliation, support), is required in every agreement. Layer two, irreversibly aggregated and anonymized data for benchmarking and fraud-model development, is contractually standard, because a fragmented corpus would kill Act Two; its lawful basis under the Nigeria Data Protection Act, consent versus legitimate interest, is a specific counsel question, not a marketing decision. Layer three, client-specific credit-readiness consent (financing eligibility, receivables scoring, sharing with a funding bank), is opt-in, packaged commercially as credit-readiness features bundled with the VAT Shield and Professional tiers, so the consent that matters most is experienced as a benefit unlocked rather than a right surrendered. The internal principle survives in softer clothing: layer two is non-negotiable; layer three is sold, not demanded. Second, schema: the platform stores invoices at underwriting grade from day one, meaning line items, counterparty identity, IRN and stamp metadata, validation status, confirmation status and observed settlement behaviour, not merely a compliance archive of PDFs. Observed settlement behaviour has named sources, in descending order of strength: bank-statement ingestion through the reconciliation module (file upload first, open-banking interfaces as Nigeria’s framework matures); buyer payment-status flags captured inside the confirmation workflow; the partner-bank collection account once financing is live; and accountant-uploaded evidence as the weak fallback. Third, client selection: acquisition is biased toward suppliers of the compliant large-taxpayer cohort, whose receivables become financeable soonest. Fourth, buyer confirmation as a product feature: the VAT shield workflow, in which a buyer verifies a supplier invoice to protect its own input credit, is engineered to double as commercial-truth confirmation, producing the confirmed-receivable objects Act Three will finance. The compliance product and the credit product share one data spine.</w:t>
      </w:r>
    </w:p>
    <w:p>
      <w:pPr>
        <w:pStyle w:val="Heading2"/>
      </w:pPr>
      <w:r>
        <w:t xml:space="preserve">7.3 Act Two: the dataset (the bridging asset)</w:t>
      </w:r>
    </w:p>
    <w:p>
      <w:pPr>
        <w:spacing w:after="140" w:line="276"/>
        <w:jc w:val="both"/>
      </w:pPr>
      <w:r>
        <w:rPr>
          <w:rFonts w:ascii="Calibri" w:cs="Calibri" w:eastAsia="Calibri" w:hAnsi="Calibri"/>
          <w:b w:val="false"/>
          <w:bCs w:val="false"/>
          <w:i w:val="false"/>
          <w:iCs w:val="false"/>
          <w:color w:val="222222"/>
          <w:sz w:val="22"/>
          <w:szCs w:val="22"/>
        </w:rPr>
        <w:t xml:space="preserve">Act Two is not a product launch; it is a set of thresholds crossed quietly while Act One trades. A business becomes credit-observable when its stamped invoices begin flowing through the platform, and credit-visible when it holds six or more months of stamped history with confirmed buyers and observed settlement behaviour, the bank-grade standard. The Act Two milestones are therefore dataset milestones in two tiers: three hundred credit-observable businesses by the end of 2027, of which one hundred and twenty fully credit-visible, consistent with the financial plan, then a thousand visible through 2028, with fraud-signal tooling (related-party detection, circular-invoicing patterns, volume anomalies) built and back-tested against the accumulating corpus before a single naira is financed. This is also when bank design partners are brought inside: two institutions co-developing the underwriting specification against real anonymized data, so that Act Three launches against a spec the funders have already approved.</w:t>
      </w:r>
    </w:p>
    <w:p>
      <w:pPr>
        <w:pStyle w:val="Heading2"/>
      </w:pPr>
      <w:r>
        <w:t xml:space="preserve">7.4 Act Three: verified-receivables financing infrastructure</w:t>
      </w:r>
    </w:p>
    <w:p>
      <w:pPr>
        <w:spacing w:after="140" w:line="276"/>
        <w:jc w:val="both"/>
      </w:pPr>
      <w:r>
        <w:rPr>
          <w:rFonts w:ascii="Calibri" w:cs="Calibri" w:eastAsia="Calibri" w:hAnsi="Calibri"/>
          <w:b w:val="false"/>
          <w:bCs w:val="false"/>
          <w:i w:val="false"/>
          <w:iCs w:val="false"/>
          <w:color w:val="222222"/>
          <w:sz w:val="22"/>
          <w:szCs w:val="22"/>
        </w:rPr>
        <w:t xml:space="preserve">The product: a supplier holding a stamped, buyer-confirmed invoice from a qualifying buyer requests early payment through the platform; MeridianIQ's engine verifies the stamp against the national system, checks the confirmation, screens fraud signals and scores the receivable; a partner bank funds the discounted amount directly to the supplier; repayment at invoice maturity is routed through a partner-bank collection account under notice of assignment to the buyer, the designed rail that makes settlement observable and repayment predictable, with assignment, notice and priority structured under Nigerian law, including perfection through the national collateral registry framework for security over movable assets and receivables, as confirmed by counsel. MeridianIQ earns a facilitation and data fee on each financed invoice, illustratively 1.5 to 2.5 percent of face value blended across tenors, shared in small part with the originating accountant so that the channel is aligned with the credit business as it was with the compliance business. MeridianIQ never funds from its own balance sheet, never takes deposits, and holds no credit risk beyond reputational alignment through first-loss-free structures agreed with banks; concentration limits, buyer-quality tiers and per-supplier caps are set in the underwriting spec. Adjacent products follow the same rails only after the core proves: dynamic discounting funded by the buyers themselves, and, with partners, insurance and payables programmes.</w:t>
      </w:r>
    </w:p>
    <w:p>
      <w:pPr>
        <w:spacing w:after="140" w:line="276"/>
        <w:jc w:val="both"/>
      </w:pPr>
      <w:r>
        <w:rPr>
          <w:rFonts w:ascii="Calibri" w:cs="Calibri" w:eastAsia="Calibri" w:hAnsi="Calibri"/>
          <w:b w:val="false"/>
          <w:bCs w:val="false"/>
          <w:i w:val="false"/>
          <w:iCs w:val="false"/>
          <w:color w:val="222222"/>
          <w:sz w:val="22"/>
          <w:szCs w:val="22"/>
        </w:rPr>
        <w:t xml:space="preserve">One standing underwriting rule governs qualification: no invoice is financeable without either buyer-confirmed payment status or repayment routed through the partner-bank collection account; accountant-uploaded evidence supports compliance history and never qualifies a receivable on its own.</w:t>
      </w:r>
    </w:p>
    <w:p>
      <w:pPr>
        <w:pStyle w:val="Heading3"/>
      </w:pPr>
      <w:r>
        <w:t xml:space="preserve">The rail, step by step</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771"/>
        <w:gridCol w:w="4819"/>
        <w:gridCol w:w="4048"/>
      </w:tblGrid>
      <w:tr>
        <w:trPr>
          <w:tblHeader/>
        </w:trPr>
        <w:tc>
          <w:tcPr>
            <w:tcW w:type="dxa" w:w="77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Step</w:t>
            </w:r>
          </w:p>
        </w:tc>
        <w:tc>
          <w:tcPr>
            <w:tcW w:type="dxa" w:w="481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Action</w:t>
            </w:r>
          </w:p>
        </w:tc>
        <w:tc>
          <w:tcPr>
            <w:tcW w:type="dxa" w:w="404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Funds control and legal basis</w:t>
            </w:r>
          </w:p>
        </w:tc>
      </w:tr>
      <w:tr>
        <w:tc>
          <w:tcPr>
            <w:tcW w:type="dxa" w:w="77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confirms the invoice inside Buyer Rails, with a no-set-off acknowledgment where obtainable.</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finance team acting in its own VAT interest; confirmation recorded with lineage.</w:t>
            </w:r>
          </w:p>
        </w:tc>
      </w:tr>
      <w:tr>
        <w:tc>
          <w:tcPr>
            <w:tcW w:type="dxa" w:w="77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Supplier assigns the receivable; notice of assignment is served on and acknowledged by the buyer.</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Counsel-templated Buyer Rails legal pack; perfection via the collateral-registry framework.</w:t>
            </w:r>
          </w:p>
        </w:tc>
      </w:tr>
      <w:tr>
        <w:tc>
          <w:tcPr>
            <w:tcW w:type="dxa" w:w="77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Partner bank funds the discounted amount directly to the supplier.</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balance sheet; MeridianIQ never holds or routes the money.</w:t>
            </w:r>
          </w:p>
        </w:tc>
      </w:tr>
      <w:tr>
        <w:tc>
          <w:tcPr>
            <w:tcW w:type="dxa" w:w="77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At maturity the buyer pays into a bank-owned collection account.</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Account owned and controlled by the partner bank; MeridianIQ has data visibility only, keeping it outside client-funds territory.</w:t>
            </w:r>
          </w:p>
        </w:tc>
      </w:tr>
      <w:tr>
        <w:tc>
          <w:tcPr>
            <w:tcW w:type="dxa" w:w="77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5</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sweeps repayment; settlement data returns to the MeridianIQ corpus.</w:t>
            </w:r>
          </w:p>
        </w:tc>
        <w:tc>
          <w:tcPr>
            <w:tcW w:type="dxa" w:w="404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 controls withdrawals; data feeds the underwriting history.</w:t>
            </w:r>
          </w:p>
        </w:tc>
      </w:tr>
      <w:tr>
        <w:tc>
          <w:tcPr>
            <w:tcW w:type="dxa" w:w="77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6</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Exceptions: a buyer payment made directly to the supplier is non-discharging under the notice, triggers a redirect covenant and an eligibility review; invoices in known dispute or subject to set-off are excluded by eligibility rules, with dilution absorbed in the advance rate.</w:t>
            </w:r>
          </w:p>
        </w:tc>
        <w:tc>
          <w:tcPr>
            <w:tcW w:type="dxa" w:w="404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Governed by the legal pack and the underwriting specification of Appendix C.</w:t>
            </w:r>
          </w:p>
        </w:tc>
      </w:tr>
    </w:tbl>
    <w:p>
      <w:pPr>
        <w:pStyle w:val="Heading2"/>
      </w:pPr>
      <w:r>
        <w:t xml:space="preserve">7.5 Architecture and accreditation path</w:t>
      </w:r>
    </w:p>
    <w:p>
      <w:pPr>
        <w:spacing w:after="140" w:line="276"/>
        <w:jc w:val="both"/>
      </w:pPr>
      <w:r>
        <w:rPr>
          <w:rFonts w:ascii="Calibri" w:cs="Calibri" w:eastAsia="Calibri" w:hAnsi="Calibri"/>
          <w:b w:val="false"/>
          <w:bCs w:val="false"/>
          <w:i w:val="false"/>
          <w:iCs w:val="false"/>
          <w:color w:val="222222"/>
          <w:sz w:val="22"/>
          <w:szCs w:val="22"/>
        </w:rPr>
        <w:t xml:space="preserve">Version 3.2 corrects a sequencing error the third external review caught: under the NITDA 2025 guideline, System Integrator activity itself requires prior accreditation, on stated conditions, an application fee of NGN 1 million, minimum paid-up capital of NGN 10 million with CAC registration and digital-technology objects, a minimum one-third of shares held by Nigerians, evidence of Nigeria Data Protection Act compliance, documented operating and dispute-resolution policies, demonstrated technical capacity, and at least one director with five years of professional digital-technology experience, with approval yielding a six-month provisional licence (extendable three months) ahead of a two-year final licence. Act One therefore splits, per Section 7.1: advisory work sells from day one regardless, while integration work proceeds only under MeridianIQ’s own provisional licence or a counsel-approved delivery model beneath an accredited partner (Deliverable 1A). The SI application is filed at incorporation; the own-APP application follows as the Phase-one workstream already described, since the strongest competitors hold both licences and rail dependency is a disadvantage worth retiring early. The shareholding condition also disciplines corporate structure, as Section 2.2 records. Obligation-light this is not: NITDA guidance places substantive duties on integrators, including secure transmission, digital signatures and cryptographic key handling, validation monitoring and immutable audit logging, and requires encrypted records, logs and invoice data to be stored or backed up on servers or data centres located in Nigeria. Hosting is Nigeria-first from day one, an explicit cost line that doubles as a barrier against casual foreign entrants, and a prerequisite for the credit business, where data residency and consent will be examined by bank partners' own compliance functions. The stack is unremarkable by design; the defensible assets are regulatory fidelity, the consent-clean dataset, and channel trust.</w:t>
      </w:r>
    </w:p>
    <w:p>
      <w:pPr>
        <w:pStyle w:val="Heading1"/>
      </w:pPr>
      <w:r>
        <w:t xml:space="preserve">8. Business Model and Pricing</w:t>
      </w:r>
    </w:p>
    <w:p>
      <w:pPr>
        <w:pStyle w:val="Heading2"/>
      </w:pPr>
      <w:r>
        <w:t xml:space="preserve">8.1 Three revenue engines</w:t>
      </w:r>
    </w:p>
    <w:p>
      <w:pPr>
        <w:spacing w:after="140" w:line="276"/>
        <w:jc w:val="both"/>
      </w:pPr>
      <w:r>
        <w:rPr>
          <w:rFonts w:ascii="Calibri" w:cs="Calibri" w:eastAsia="Calibri" w:hAnsi="Calibri"/>
          <w:b w:val="false"/>
          <w:bCs w:val="false"/>
          <w:i w:val="false"/>
          <w:iCs w:val="false"/>
          <w:color w:val="222222"/>
          <w:sz w:val="22"/>
          <w:szCs w:val="22"/>
        </w:rPr>
        <w:t xml:space="preserve">Engine one, services (Act One): readiness assessments at roughly NGN 750,000; supplier VAT-risk checks priced for volume; integration projects of NGN 2.5 to 6 million by complexity; compliance retainers of NGN 150,000 to 400,000 monthly. Engine two, platform subscriptions (Act One): per-business monthly tiers below, with partner firms earning 25 to 30 percent recurring share plus participation in one-off implementation fees. Engine three, financing facilitation (Act Three): 1.5 to 2.5 percent of financed invoice face value blended, of which a small origination share flows to the accountant whose client book produced the receivable. Prices are reviewed against the exchange rate semi-annually as deliberate currency protection.</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542"/>
        <w:gridCol w:w="1735"/>
        <w:gridCol w:w="4433"/>
        <w:gridCol w:w="1928"/>
      </w:tblGrid>
      <w:tr>
        <w:trPr>
          <w:tblHeader/>
        </w:trPr>
        <w:tc>
          <w:tcPr>
            <w:tcW w:type="dxa" w:w="1542"/>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Tier</w:t>
            </w:r>
          </w:p>
        </w:tc>
        <w:tc>
          <w:tcPr>
            <w:tcW w:type="dxa" w:w="173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Price / month</w:t>
            </w:r>
          </w:p>
        </w:tc>
        <w:tc>
          <w:tcPr>
            <w:tcW w:type="dxa" w:w="4433"/>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Includes</w:t>
            </w:r>
          </w:p>
        </w:tc>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Target user</w:t>
            </w:r>
          </w:p>
        </w:tc>
      </w:tr>
      <w:tr>
        <w:tc>
          <w:tcPr>
            <w:tcW w:type="dxa" w:w="154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Essential</w:t>
            </w:r>
          </w:p>
        </w:tc>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15,000</w:t>
            </w:r>
          </w:p>
        </w:tc>
        <w:tc>
          <w:tcPr>
            <w:tcW w:type="dxa" w:w="443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Guided invoicing, APP submission, stamped-invoice vault, deadline and penalty alerts.</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Small wave; portal-plus users</w:t>
            </w:r>
          </w:p>
        </w:tc>
      </w:tr>
      <w:tr>
        <w:tc>
          <w:tcPr>
            <w:tcW w:type="dxa" w:w="154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Compliance Desk</w:t>
            </w:r>
          </w:p>
        </w:tc>
        <w:tc>
          <w:tcPr>
            <w:tcW w:type="dxa" w:w="173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25,000</w:t>
            </w:r>
          </w:p>
        </w:tc>
        <w:tc>
          <w:tcPr>
            <w:tcW w:type="dxa" w:w="443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Everything in Essential delivered as a managed service: a named compliance operator runs submissions, resolves validation failures and reports monthly.</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Small wave preferring service to self-serve</w:t>
            </w:r>
          </w:p>
        </w:tc>
      </w:tr>
      <w:tr>
        <w:tc>
          <w:tcPr>
            <w:tcW w:type="dxa" w:w="154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Professional</w:t>
            </w:r>
          </w:p>
        </w:tc>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35,000</w:t>
            </w:r>
          </w:p>
        </w:tc>
        <w:tc>
          <w:tcPr>
            <w:tcW w:type="dxa" w:w="443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Everything in Essential plus bulk import, VAT shield supplier verification with buyer confirmation, reconciliation, accountant console access.</w:t>
            </w:r>
          </w:p>
        </w:tc>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Upper small and medium wave; the credit-visible tier</w:t>
            </w:r>
          </w:p>
        </w:tc>
      </w:tr>
      <w:tr>
        <w:tc>
          <w:tcPr>
            <w:tcW w:type="dxa" w:w="154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Enterprise-lite</w:t>
            </w:r>
          </w:p>
        </w:tc>
        <w:tc>
          <w:tcPr>
            <w:tcW w:type="dxa" w:w="173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75,000+</w:t>
            </w:r>
          </w:p>
        </w:tc>
        <w:tc>
          <w:tcPr>
            <w:tcW w:type="dxa" w:w="443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Everything in Professional plus ERP connectors, multi-entity, API access, priority support.</w:t>
            </w:r>
          </w:p>
        </w:tc>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Medium wave with systems</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Stated honestly: on an Essential-only book, thirty percent of NGN 15,000 is NGN 4,500 per client per month, so fifty clients yield about NGN 2.7 million a year for a partner firm, thin for a mid-tier practice. The economics are engineered upward through implementation-fee sharing, Compliance Desk and Professional as default proposals (a realistic mix lifts the firm's share to roughly NGN 3.3 to 4 million a year on fifty clients), upgrade bonuses, and, from Act Three, origination shares on financed receivables, which converts the best partner firms from software resellers into credit originators. That last alignment is the deepest channel lock-in available: a firm earning basis points on its clients' financing does not switch platforms over a feature comparison. The origination share is wrapped in a liability safe-harbor by design: partner firms introduce and are paid for introduction, while underwriting, credit decisions and credit advice sit entirely with MeridianIQ and the funding bank, so no practice carries credit-advice exposure to its own client.</w:t>
      </w:r>
    </w:p>
    <w:p>
      <w:pPr>
        <w:pStyle w:val="Heading2"/>
      </w:pPr>
      <w:r>
        <w:t xml:space="preserve">8.2 Unit economics logic</w:t>
      </w:r>
    </w:p>
    <w:p>
      <w:pPr>
        <w:spacing w:after="140" w:line="276"/>
        <w:jc w:val="both"/>
      </w:pPr>
      <w:r>
        <w:rPr>
          <w:rFonts w:ascii="Calibri" w:cs="Calibri" w:eastAsia="Calibri" w:hAnsi="Calibri"/>
          <w:b w:val="false"/>
          <w:bCs w:val="false"/>
          <w:i w:val="false"/>
          <w:iCs w:val="false"/>
          <w:color w:val="222222"/>
          <w:sz w:val="22"/>
          <w:szCs w:val="22"/>
        </w:rPr>
        <w:t xml:space="preserve">Channel-led acquisition amortizes one firm-level sale across its client book. Services gross margins are planned at 50 to 60 percent; platform margins at 75 to 85 percent after access-point transaction costs (the managed Compliance Desk tier runs nearer 55 to 60 percent and is priced for it), improving once own-APP accreditation lands; facilitation fees carry infrastructure margins near 90 percent since the capital, and its cost, sit with the bank. Compliance retention behaves like utility retention: the subscription lapses only if the business dies, shrinks below the floor, or the mandate is repealed. Credit attach deepens retention further: a business with an active financing line has three reasons to stay.</w:t>
      </w:r>
    </w:p>
    <w:p>
      <w:pPr>
        <w:pStyle w:val="Heading1"/>
      </w:pPr>
      <w:r>
        <w:t xml:space="preserve">9. Go-to-Market Strategy</w:t>
      </w:r>
    </w:p>
    <w:p>
      <w:pPr>
        <w:pStyle w:val="Heading2"/>
      </w:pPr>
      <w:r>
        <w:t xml:space="preserve">9.1 Motion one: the accountant channel (unchanged and central)</w:t>
      </w:r>
    </w:p>
    <w:p>
      <w:pPr>
        <w:spacing w:after="140" w:line="276"/>
        <w:jc w:val="both"/>
      </w:pPr>
      <w:r>
        <w:rPr>
          <w:rFonts w:ascii="Calibri" w:cs="Calibri" w:eastAsia="Calibri" w:hAnsi="Calibri"/>
          <w:b w:val="false"/>
          <w:bCs w:val="false"/>
          <w:i w:val="false"/>
          <w:iCs w:val="false"/>
          <w:color w:val="222222"/>
          <w:sz w:val="22"/>
          <w:szCs w:val="22"/>
        </w:rPr>
        <w:t xml:space="preserve">Recruit mid-tier practices and ambitious sole practitioners, prioritized by affected client books; certify them through a structured programme delivered as continuing professional development in cooperation with the professional bodies (ICAN, CITN, ANAN), opening with compliance for the firm itself, since professional-services firms sit inside the net at any size; activate through joint deadline-and-penalty campaigns to the firm's own clients; expand by making every unconverted client visible to the firm as unearned revenue share. The certified-practice programme now carries a second promise alongside software share: firms that originate will, in time, earn on financing.</w:t>
      </w:r>
    </w:p>
    <w:p>
      <w:pPr>
        <w:pStyle w:val="Heading2"/>
      </w:pPr>
      <w:r>
        <w:t xml:space="preserve">9.2 Motion two: the buyer-side wedge that feeds the credit business</w:t>
      </w:r>
    </w:p>
    <w:p>
      <w:pPr>
        <w:spacing w:after="140" w:line="276"/>
        <w:jc w:val="both"/>
      </w:pPr>
      <w:r>
        <w:rPr>
          <w:rFonts w:ascii="Calibri" w:cs="Calibri" w:eastAsia="Calibri" w:hAnsi="Calibri"/>
          <w:b w:val="false"/>
          <w:bCs w:val="false"/>
          <w:i w:val="false"/>
          <w:iCs w:val="false"/>
          <w:color w:val="222222"/>
          <w:sz w:val="22"/>
          <w:szCs w:val="22"/>
        </w:rPr>
        <w:t xml:space="preserve">The supplier VAT-risk check is sold to large and medium buyers, where the money and the input-credit exposure sit. Each engagement produces three assets at once: a fee, a qualified lead list of non-compliant suppliers who become integration prospects, and, decisively for Act Three, a mapped buyer-supplier graph with the buyer already inside MeridianIQ's confirmation workflow. The buyers a check engages first are the anchor nodes against whose confirmed invoices the first financing will run. The cheapest product in the company is therefore also the origination engine of its most valuable business, which is why it leads every buyer-side conversation. From these engagements the Buyer Rails programme is assembled: standardized anchor-buyer agreements covering the three things Act Three cannot work without, confirmation of invoice validity, acceptance of assignment and notice mechanics, and a designated, observable payment route. The programme is sold on the buyer’s own interests, in classic reverse-factoring logic: input-VAT protection, supplier stability, and optionally extended payment terms, benefits that land on the buyer’s side of the ledger while quietly assembling the rails the credit business will run on.</w:t>
      </w:r>
    </w:p>
    <w:p>
      <w:pPr>
        <w:pStyle w:val="Heading2"/>
      </w:pPr>
      <w:r>
        <w:t xml:space="preserve">9.3 Motion three: bank design partners (new in version three)</w:t>
      </w:r>
    </w:p>
    <w:p>
      <w:pPr>
        <w:spacing w:after="140" w:line="276"/>
        <w:jc w:val="both"/>
      </w:pPr>
      <w:r>
        <w:rPr>
          <w:rFonts w:ascii="Calibri" w:cs="Calibri" w:eastAsia="Calibri" w:hAnsi="Calibri"/>
          <w:b w:val="false"/>
          <w:bCs w:val="false"/>
          <w:i w:val="false"/>
          <w:iCs w:val="false"/>
          <w:color w:val="222222"/>
          <w:sz w:val="22"/>
          <w:szCs w:val="22"/>
        </w:rPr>
        <w:t xml:space="preserve">From the first quarter of operations, MeridianIQ courts two banks, one tier-one and one aggressive tier-two, as design partners for the verified-receivables specification: what stamp, confirmation, history and concentration standards a receivable must meet for the bank to fund it programmatically. The ask in 2026 is not capital but co-design: a working session cadence, feedback on the underwriting schema against anonymized live data as it accumulates, and a memorandum of understanding targeting a pilot facility in the second half of 2027. Banks have every incentive to engage: the recapitalisation has left them with deployment pressure, public expectations on SME lending, and no economic way to originate or verify long-tail receivables themselves. The deliberately unthreatening posture, bank-neutral, no payments ambitions, no balance sheet, is itself a sales argument against competitors who want the settlement flow.</w:t>
      </w:r>
    </w:p>
    <w:p>
      <w:pPr>
        <w:pStyle w:val="Heading2"/>
      </w:pPr>
      <w:r>
        <w:t xml:space="preserve">9.4 Sequencing</w:t>
      </w:r>
    </w:p>
    <w:p>
      <w:pPr>
        <w:spacing w:after="140" w:line="276"/>
        <w:jc w:val="both"/>
      </w:pPr>
      <w:r>
        <w:rPr>
          <w:rFonts w:ascii="Calibri" w:cs="Calibri" w:eastAsia="Calibri" w:hAnsi="Calibri"/>
          <w:b w:val="false"/>
          <w:bCs w:val="false"/>
          <w:i w:val="false"/>
          <w:iCs w:val="false"/>
          <w:color w:val="222222"/>
          <w:sz w:val="22"/>
          <w:szCs w:val="22"/>
        </w:rPr>
        <w:t xml:space="preserve">The first ninety days are governed by the evidence plan in Section 15: paid pilots rather than letters of intent, booked revenue rather than pipeline, a counsel memo before hard claims, and the first two bank conversations opened with a written specification one-pager. Thereafter: convert the medium-wave enforcement window (January to March 2027) into a services surge while the platform proves with anchor firms; channel-led platform launch into the July 2027 small wave; Act Two dataset thresholds crossed through 2027; bank pilot facility in the second half of 2027, subject to gates; scale financing through 2028 as the small-wave enforcement date lands. Platform and credit investment each accelerate only after their gates pass; the services practice is profitable standing still.</w:t>
      </w:r>
    </w:p>
    <w:p>
      <w:pPr>
        <w:pStyle w:val="Heading2"/>
      </w:pPr>
      <w:r>
        <w:t xml:space="preserve">9.5 Narrative discipline across three audiences</w:t>
      </w:r>
    </w:p>
    <w:p>
      <w:pPr>
        <w:spacing w:after="140" w:line="276"/>
        <w:jc w:val="both"/>
      </w:pPr>
      <w:r>
        <w:rPr>
          <w:rFonts w:ascii="Calibri" w:cs="Calibri" w:eastAsia="Calibri" w:hAnsi="Calibri"/>
          <w:b w:val="false"/>
          <w:bCs w:val="false"/>
          <w:i w:val="false"/>
          <w:iCs w:val="false"/>
          <w:color w:val="222222"/>
          <w:sz w:val="22"/>
          <w:szCs w:val="22"/>
        </w:rPr>
        <w:t xml:space="preserve">The company runs one internal thesis and three external stories, and never confuses them. To SMEs and accountants, MeridianIQ is the compliance and VAT Shield platform, with credit-readiness features as an unlockable benefit; leading that audience with the phrase credit infrastructure built from your invoice data would manufacture distrust for no gain. To anchor buyers, MeridianIQ is a supply-chain programme: input-VAT protection, supplier stability, optional supplier finance. To banks and strategic investors, and only to them, MeridianIQ is the verified-receivables infrastructure company. This document is the internal narrative; the external sequencing is a discipline enforced in marketing review.</w:t>
      </w:r>
    </w:p>
    <w:p>
      <w:pPr>
        <w:pStyle w:val="Heading1"/>
      </w:pPr>
      <w:r>
        <w:t xml:space="preserve">10. Competitive Landscape</w:t>
      </w:r>
    </w:p>
    <w:p>
      <w:pPr>
        <w:spacing w:after="140" w:line="276"/>
        <w:jc w:val="both"/>
      </w:pPr>
      <w:r>
        <w:rPr>
          <w:rFonts w:ascii="Calibri" w:cs="Calibri" w:eastAsia="Calibri" w:hAnsi="Calibri"/>
          <w:b w:val="false"/>
          <w:bCs w:val="false"/>
          <w:i w:val="false"/>
          <w:iCs w:val="false"/>
          <w:color w:val="222222"/>
          <w:sz w:val="22"/>
          <w:szCs w:val="22"/>
        </w:rPr>
        <w:t xml:space="preserve">Version two retired the assumption of an open window; version three goes further: it assumes the strongest local providers are racing toward the same endgame, and positions accordingly. Duplo, dual-licensed since March 2026, markets an end-to-end compliance-to-commerce pipeline with ERP plug-ins and integrated settlement on its own rail, and its own language about closing the loop between invoicing and payment confirms the credit-adjacent prize. DigiTax (Namiri Technology), also accredited as both System Integrator and Access Point Provider, supports over a thousand businesses across four markets, was among the first registrants with Nigeria's Peppol Authority, convenes regulator-adjacent compliance events, and offers a dashboard that functions as an ERP for businesses without systems. Doftwerks West Africa, the technology subsidiary of Stransact Chartered Accountants (an RSM correspondent firm), holds the same dual accreditation with a live integration layer, ISO 27001 certification and NDPC data-protection compliance, and its parentage matters twice over: it proves the accountant-adjacent territory is contested, and it structurally handicaps Doftwerks as a white-label to the several thousand rival practices, many of which will hesitate to run client books through a competitor firm’s infrastructure. Pillarcraft Cloud Solutions, the technology subsidiary of a second chartered-accountancy practice, was accredited as a System Integrator in January 2026 and markets middleware to SMEs, accounting firms and software vendors, confirming a pattern with a strategic consequence: the largest practices build rather than buy, so the white-label channel targets, by design, the mid-tier and long-tail firms below the build-capability threshold, which is also where most affected client books sit. CWG Plc, a listed IT firm, operates as a system integrator for the programme. None of this is a reason to stop; it is the confirmation of the thesis and the price of the seat.</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928"/>
        <w:gridCol w:w="2506"/>
        <w:gridCol w:w="2602"/>
        <w:gridCol w:w="2602"/>
      </w:tblGrid>
      <w:tr>
        <w:trPr>
          <w:tblHeader/>
        </w:trPr>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Player class</w:t>
            </w:r>
          </w:p>
        </w:tc>
        <w:tc>
          <w:tcPr>
            <w:tcW w:type="dxa" w:w="2506"/>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Examples / posture</w:t>
            </w:r>
          </w:p>
        </w:tc>
        <w:tc>
          <w:tcPr>
            <w:tcW w:type="dxa" w:w="2602"/>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Strength</w:t>
            </w:r>
          </w:p>
        </w:tc>
        <w:tc>
          <w:tcPr>
            <w:tcW w:type="dxa" w:w="2602"/>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MeridianIQ counter-position</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Dual-licensed platform (payments DNA)</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Duplo: SI and APP licences, compliance-to-commerce, enterprise roster of multinationals, integrated settlement</w:t>
            </w:r>
          </w:p>
        </w:tc>
        <w:tc>
          <w:tcPr>
            <w:tcW w:type="dxa" w:w="260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Owns its rail; well funded; explicit designs on the invoice-to-payment loop</w:t>
            </w:r>
          </w:p>
        </w:tc>
        <w:tc>
          <w:tcPr>
            <w:tcW w:type="dxa" w:w="260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Bank-neutral posture: MeridianIQ competes for no settlement flow and holds no payments ambitions, which is precisely what makes it a safe partner for banks and a safe reseller for accountants.</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Dual-licensed platform (tax-tech DNA)</w:t>
            </w:r>
          </w:p>
        </w:tc>
        <w:tc>
          <w:tcPr>
            <w:tcW w:type="dxa" w:w="250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DigiTax/Namiri: SI and APP licences, 1,000+ businesses across four markets, regulator-adjacent events, direct-sales dashboard-ERP</w:t>
            </w:r>
          </w:p>
        </w:tc>
        <w:tc>
          <w:tcPr>
            <w:tcW w:type="dxa" w:w="260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Cross-market playbook; regulator proximity; first-mover credibility</w:t>
            </w:r>
          </w:p>
        </w:tc>
        <w:tc>
          <w:tcPr>
            <w:tcW w:type="dxa" w:w="260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Sells direct to businesses; the neutral multi-firm white-label motion and the origination share remain open, though now contested. Their Kenya base also pre-answers the replication question: mandate-compliance travels.</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Dual-licensed platform (single-firm-owned)</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Doftwerks (Stransact/RSM): SI and APP licences, live integration layer, ISO 27001 and NDPC certification, enterprise CFO positioning</w:t>
            </w:r>
          </w:p>
        </w:tc>
        <w:tc>
          <w:tcPr>
            <w:tcW w:type="dxa" w:w="260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Accountancy-linked credibility; security certifications; parent advisory practice</w:t>
            </w:r>
          </w:p>
        </w:tc>
        <w:tc>
          <w:tcPr>
            <w:tcW w:type="dxa" w:w="260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Owned by one firm: many rival practices will hesitate to white-label a competitor’s platform or expose client books to it. Validates the territory while ceding most of the neutral multi-firm position.</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Large system integrators</w:t>
            </w:r>
          </w:p>
        </w:tc>
        <w:tc>
          <w:tcPr>
            <w:tcW w:type="dxa" w:w="250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CWG Plc and peers appointed as SIs for the programme</w:t>
            </w:r>
          </w:p>
        </w:tc>
        <w:tc>
          <w:tcPr>
            <w:tcW w:type="dxa" w:w="260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Enterprise integration muscle; listed-company trust</w:t>
            </w:r>
          </w:p>
        </w:tc>
        <w:tc>
          <w:tcPr>
            <w:tcW w:type="dxa" w:w="260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Enterprise project economics; no channel product, no credit ambitions visible.</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Global e-invoicing vendors</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Sovos, Pagero (Thomson Reuters), Edicom entering via multinationals</w:t>
            </w:r>
          </w:p>
        </w:tc>
        <w:tc>
          <w:tcPr>
            <w:tcW w:type="dxa" w:w="260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Peppol depth; global client mandates</w:t>
            </w:r>
          </w:p>
        </w:tc>
        <w:tc>
          <w:tcPr>
            <w:tcW w:type="dxa" w:w="260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Serve subsidiaries of global clients; more plausible acquirers than competitors.</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free government portal</w:t>
            </w:r>
          </w:p>
        </w:tc>
        <w:tc>
          <w:tcPr>
            <w:tcW w:type="dxa" w:w="250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Planned free or low-cost interface for smaller taxpayers</w:t>
            </w:r>
          </w:p>
        </w:tc>
        <w:tc>
          <w:tcPr>
            <w:tcW w:type="dxa" w:w="260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Zero price; official status</w:t>
            </w:r>
          </w:p>
        </w:tc>
        <w:tc>
          <w:tcPr>
            <w:tcW w:type="dxa" w:w="260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Solves bare submission only; the India precedent shows free portal and paid workflow market coexisting. And a portal will never finance an invoice.</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Banks building in-house</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Recapitalised banks attempting their own SME receivables origination</w:t>
            </w:r>
          </w:p>
        </w:tc>
        <w:tc>
          <w:tcPr>
            <w:tcW w:type="dxa" w:w="260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Balance sheet; existing SME relationships</w:t>
            </w:r>
          </w:p>
        </w:tc>
        <w:tc>
          <w:tcPr>
            <w:tcW w:type="dxa" w:w="260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Origination and verification at long-tail scale is exactly what bank cost structures cannot do; the build-vs-rent economics favour renting the layer, and the neutral layer can serve many banks at once.</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Do-nothing / informal</w:t>
            </w:r>
          </w:p>
        </w:tc>
        <w:tc>
          <w:tcPr>
            <w:tcW w:type="dxa" w:w="250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Waiting out enforcement; informal lending at punitive rates</w:t>
            </w:r>
          </w:p>
        </w:tc>
        <w:tc>
          <w:tcPr>
            <w:tcW w:type="dxa" w:w="260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Free until enforcement; familiar</w:t>
            </w:r>
          </w:p>
        </w:tc>
        <w:tc>
          <w:tcPr>
            <w:tcW w:type="dxa" w:w="260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Eroded by VAT contagion on the compliance side and by bank-priced credit against informal rates on the financing side.</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Defensibility is a compounding position built from four assets: the certified-practice channel, converted from customers into stakeholders by software share and then origination share; workflow depth above the portal, raising switching costs invoice by archived invoice; regulatory fidelity, the earned reputation that MeridianIQ documents and submissions are always audit-proof; and, unique to version three, the consent-clean underwriting dataset, which cannot be bought, scraped or replicated retroactively, because data rights attach at contract signature and compound with time. The plan assumes down-market and credit-ward pressure from all three named incumbents from launch; the answers are speed through the channel in the remainder of 2026, the Phase-one accreditation application, and the bank-neutral, firm-neutral position none of the three can copy without abandoning its own structure: Duplo would surrender the settlement flow, DigiTax its direct model, Doftwerks its single-firm ownership. The competitor register itself is treated as perishable: the official MBS service-provider directory is public and growing, and is reviewed monthly with this section updated accordingly.</w:t>
      </w:r>
    </w:p>
    <w:p>
      <w:pPr>
        <w:pStyle w:val="Heading1"/>
      </w:pPr>
      <w:r>
        <w:t xml:space="preserve">11. Operations, Team and Compliance</w:t>
      </w:r>
    </w:p>
    <w:p>
      <w:pPr>
        <w:pStyle w:val="Heading2"/>
      </w:pPr>
      <w:r>
        <w:t xml:space="preserve">11.1 Team plan</w:t>
      </w:r>
    </w:p>
    <w:p>
      <w:pPr>
        <w:spacing w:after="140" w:line="276"/>
        <w:jc w:val="both"/>
      </w:pPr>
      <w:r>
        <w:rPr>
          <w:rFonts w:ascii="Calibri" w:cs="Calibri" w:eastAsia="Calibri" w:hAnsi="Calibri"/>
          <w:b w:val="false"/>
          <w:bCs w:val="false"/>
          <w:i w:val="false"/>
          <w:iCs w:val="false"/>
          <w:color w:val="222222"/>
          <w:sz w:val="22"/>
          <w:szCs w:val="22"/>
        </w:rPr>
        <w:t xml:space="preserve">Act One runs on five people: the founder (commercial and product); a tax and regulatory lead, ICAN- or CITN-qualified with VAT practice experience, the single most important early hire, compensated partly in equity and treated as a de facto co-founder; a qualifying director seated at incorporation with five years of professional digital-technology experience, a NITDA condition for SI accreditation; two full-stack engineers, one of whom owns the data schema as a first-class responsibility; and one implementation consultant, the template for a role that scales with advisory volume. Act Two adds a channel manager, customer success, and a data engineer to harden the underwriting corpus and fraud-signal tooling. Act Three's gate triggers the credit hires: a head of credit risk with bank SME-lending experience, ideally seconded from or endorsed by a design-partner bank, and a portfolio-operations lead. By year three the company is roughly eighteen people; by year five, mid-forties. The advisory board, assembled in the first six months, gains a fourth seat in version three: a senior tax practitioner, a former senior tax-authority official, a channel-software operator, and a retired bank chief risk officer.</w:t>
      </w:r>
    </w:p>
    <w:p>
      <w:pPr>
        <w:pStyle w:val="Heading2"/>
      </w:pPr>
      <w:r>
        <w:t xml:space="preserve">11.2 Operating disciplines</w:t>
      </w:r>
    </w:p>
    <w:p>
      <w:pPr>
        <w:spacing w:after="140" w:line="276"/>
        <w:jc w:val="both"/>
      </w:pPr>
      <w:r>
        <w:rPr>
          <w:rFonts w:ascii="Calibri" w:cs="Calibri" w:eastAsia="Calibri" w:hAnsi="Calibri"/>
          <w:b w:val="false"/>
          <w:bCs w:val="false"/>
          <w:i w:val="false"/>
          <w:iCs w:val="false"/>
          <w:color w:val="222222"/>
          <w:sz w:val="22"/>
          <w:szCs w:val="22"/>
        </w:rPr>
        <w:t xml:space="preserve">Four disciplines are treated as existential. Regulatory fidelity: every playbook change reviewed by the tax lead, immutable submission logs, a live sandbox against the national platform; a client penalized through MeridianIQ error is brand-fatal. The playbook culture: every engagement improves the template library, because the codified playbook becomes the product and part of what an acquirer pays for. Currency hygiene: semi-annual price reviews indexed to the exchange rate, a dollar working buffer, internal accounts kept in both naira and dollars from month one. And, new in version three, dataset integrity: the underwriting corpus is treated as a regulated asset, with consent lineage on every record, related-party and circular-invoicing detection run continuously from the first thousand invoices, and a standing rule that no receivable is ever presented to a funder without stamp verification, buyer confirmation and a clean fraud screen. The credit business will live or die on the first pilot's loss numbers; the discipline starts two years before the pilot.</w:t>
      </w:r>
    </w:p>
    <w:p>
      <w:pPr>
        <w:pStyle w:val="Heading2"/>
      </w:pPr>
      <w:r>
        <w:t xml:space="preserve">11.3 Regulatory posture, data protection and the credit perimeter</w:t>
      </w:r>
    </w:p>
    <w:p>
      <w:pPr>
        <w:spacing w:after="140" w:line="276"/>
        <w:jc w:val="both"/>
      </w:pPr>
      <w:r>
        <w:rPr>
          <w:rFonts w:ascii="Calibri" w:cs="Calibri" w:eastAsia="Calibri" w:hAnsi="Calibri"/>
          <w:b w:val="false"/>
          <w:bCs w:val="false"/>
          <w:i w:val="false"/>
          <w:iCs w:val="false"/>
          <w:color w:val="222222"/>
          <w:sz w:val="22"/>
          <w:szCs w:val="22"/>
        </w:rPr>
        <w:t xml:space="preserve">MeridianIQ files its SI accreditation application at incorporation, bridges integration work under a counsel-approved partner-delivery model until the provisional licence lands, and files the own-APP application during Phase one (Section 7.5). NITDA obligations, secure transmission, key handling, monitoring, immutable audit logs, and Nigerian data residency for encrypted records and invoice data, are engineered in from day one. The company registers under the Nigeria Data Protection Act, appoints a data protection officer early, and implements the counsel-drafted consent architecture that permits credit-assessment processing; this is examined not only by the regulator but by bank partners' compliance functions, and is treated as a sales asset. On the credit perimeter: MeridianIQ is structured as a technology and services provider to regulated lenders and does not itself lend, take deposits or hold client funds; receivables assignment, notice and priority are structured under Nigerian law with perfection through the collateral-registry framework for security interests in movable assets, with a formal counsel opinion on enforceability as a pre-pilot deliverable. Professional indemnity cover is procured for the advisory practice as soon as the market can price it.</w:t>
      </w:r>
    </w:p>
    <w:p>
      <w:pPr>
        <w:pStyle w:val="Heading1"/>
      </w:pPr>
      <w:r>
        <w:t xml:space="preserve">12. Financial Plan</w:t>
      </w:r>
    </w:p>
    <w:p>
      <w:pPr>
        <w:pStyle w:val="Heading2"/>
      </w:pPr>
      <w:r>
        <w:t xml:space="preserve">12.1 Assumptions</w:t>
      </w:r>
    </w:p>
    <w:p>
      <w:pPr>
        <w:spacing w:after="140" w:line="276"/>
        <w:jc w:val="both"/>
      </w:pPr>
      <w:r>
        <w:rPr>
          <w:rFonts w:ascii="Calibri" w:cs="Calibri" w:eastAsia="Calibri" w:hAnsi="Calibri"/>
          <w:b w:val="false"/>
          <w:bCs w:val="false"/>
          <w:i w:val="false"/>
          <w:iCs w:val="false"/>
          <w:color w:val="222222"/>
          <w:sz w:val="22"/>
          <w:szCs w:val="22"/>
        </w:rPr>
        <w:t xml:space="preserve">All figures are illustrative planning scenarios in naira millions unless stated, converted where shown at NGN 1,450 per US dollar; year one begins in the third quarter of 2026. Version three trims Act One revenue relative to earlier drafts to reflect two findings of the third pressure test: late entry into a medium wave that accredited providers have farmed since late 2025, and enforcement timetables that are demonstrably soft. Services assume 25 medium-wave projects in year one rising to 40 in year two at an average of NGN 3.5 million, with roughly 60 percent retainer attachment. Platform subscribers at year-end are assumed at 20 (beta), 350, 1,500, 3,600 and 7,000 across years one to five, through certified practices growing from three anchors to roughly one hundred and ten firms; the implied per-firm average is an aggregate over a power-law distribution, supplemented by a direct share reaching about a fifth of new subscriptions by year five. Blended platform revenue of roughly NGN 28,000 per business per month reflects a realistic tier mix. Financing facilitation begins mid-year three, gated as in Section 15, at a blended take of two percent on facilitated volume of NGN 2.3 billion, 16 billion and 52 billion in years three to five, against credit-visible business counts of roughly 700, 2,000 and 4,200. Gross margins: services about 55 percent, platform about 80 percent, facilitation about 90 percent. Operating expenses carry a named security-and-compliance envelope, key management, monitoring, external testing, backups and indemnity cover, of roughly NGN 20 to 35 million in year one, rising with scale, rather than burying NITDA-mandated costs in general overhead.</w:t>
      </w:r>
    </w:p>
    <w:p>
      <w:pPr>
        <w:pStyle w:val="Heading2"/>
      </w:pPr>
      <w:r>
        <w:t xml:space="preserve">12.2 Five-year summary (illustrative, NGN millions)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891"/>
        <w:gridCol w:w="1349"/>
        <w:gridCol w:w="1349"/>
        <w:gridCol w:w="1349"/>
        <w:gridCol w:w="1349"/>
        <w:gridCol w:w="1351"/>
      </w:tblGrid>
      <w:tr>
        <w:trPr>
          <w:tblHeader/>
        </w:trPr>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Line item</w:t>
            </w:r>
          </w:p>
        </w:tc>
        <w:tc>
          <w:tcPr>
            <w:tcW w:type="dxa" w:w="134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Year 1</w:t>
            </w:r>
          </w:p>
        </w:tc>
        <w:tc>
          <w:tcPr>
            <w:tcW w:type="dxa" w:w="134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Year 2</w:t>
            </w:r>
          </w:p>
        </w:tc>
        <w:tc>
          <w:tcPr>
            <w:tcW w:type="dxa" w:w="134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Year 3</w:t>
            </w:r>
          </w:p>
        </w:tc>
        <w:tc>
          <w:tcPr>
            <w:tcW w:type="dxa" w:w="134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Year 4</w:t>
            </w:r>
          </w:p>
        </w:tc>
        <w:tc>
          <w:tcPr>
            <w:tcW w:type="dxa" w:w="135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Year 5</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Advisory and retainer revenue</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110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190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180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160</w:t>
            </w:r>
          </w:p>
        </w:tc>
        <w:tc>
          <w:tcPr>
            <w:tcW w:type="dxa" w:w="135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150</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Platform subscriptions and fees</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5</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60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320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850</w:t>
            </w:r>
          </w:p>
        </w:tc>
        <w:tc>
          <w:tcPr>
            <w:tcW w:type="dxa" w:w="135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1,700</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Financing facilitation fees</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45</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320</w:t>
            </w:r>
          </w:p>
        </w:tc>
        <w:tc>
          <w:tcPr>
            <w:tcW w:type="dxa" w:w="135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1,050</w:t>
            </w:r>
          </w:p>
        </w:tc>
      </w:tr>
      <w:tr>
        <w:tc>
          <w:tcPr>
            <w:tcW w:type="dxa" w:w="2891"/>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Total revenue</w:t>
            </w:r>
          </w:p>
        </w:tc>
        <w:tc>
          <w:tcPr>
            <w:tcW w:type="dxa" w:w="1349"/>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115</w:t>
            </w:r>
          </w:p>
        </w:tc>
        <w:tc>
          <w:tcPr>
            <w:tcW w:type="dxa" w:w="1349"/>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250</w:t>
            </w:r>
          </w:p>
        </w:tc>
        <w:tc>
          <w:tcPr>
            <w:tcW w:type="dxa" w:w="1349"/>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545</w:t>
            </w:r>
          </w:p>
        </w:tc>
        <w:tc>
          <w:tcPr>
            <w:tcW w:type="dxa" w:w="1349"/>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1,330</w:t>
            </w:r>
          </w:p>
        </w:tc>
        <w:tc>
          <w:tcPr>
            <w:tcW w:type="dxa" w:w="1351"/>
            <w:shd w:fill="F4F8F7" w:color="auto" w:val="clear"/>
            <w:vAlign w:val="center"/>
          </w:tcPr>
          <w:p>
            <w:pPr>
              <w:spacing w:after="40" w:before="40" w:line="252"/>
              <w:jc w:val="left"/>
            </w:pPr>
            <w:r>
              <w:rPr>
                <w:rFonts w:ascii="Calibri" w:cs="Calibri" w:eastAsia="Calibri" w:hAnsi="Calibri"/>
                <w:b/>
                <w:bCs/>
                <w:i w:val="false"/>
                <w:iCs w:val="false"/>
                <w:color w:val="222222"/>
                <w:sz w:val="19"/>
                <w:szCs w:val="19"/>
              </w:rPr>
              <w:t xml:space="preserve">2,900</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Total revenue (USD approx.)</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79k</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172k</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376k</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917k</w:t>
            </w:r>
          </w:p>
        </w:tc>
        <w:tc>
          <w:tcPr>
            <w:tcW w:type="dxa" w:w="135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2.0m</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Facilitated financing volume (NGN bn)</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2.3</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16</w:t>
            </w:r>
          </w:p>
        </w:tc>
        <w:tc>
          <w:tcPr>
            <w:tcW w:type="dxa" w:w="135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52</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Blended gross margin</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55%</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60%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72%</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78%</w:t>
            </w:r>
          </w:p>
        </w:tc>
        <w:tc>
          <w:tcPr>
            <w:tcW w:type="dxa" w:w="135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81%</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Operating expenses</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60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115</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240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560</w:t>
            </w:r>
          </w:p>
        </w:tc>
        <w:tc>
          <w:tcPr>
            <w:tcW w:type="dxa" w:w="135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1,150</w:t>
            </w:r>
          </w:p>
        </w:tc>
      </w:tr>
      <w:tr>
        <w:tc>
          <w:tcPr>
            <w:tcW w:type="dxa" w:w="2891"/>
            <w:vAlign w:val="center"/>
          </w:tcPr>
          <w:p>
            <w:pPr>
              <w:spacing w:after="40" w:before="40" w:line="252"/>
              <w:jc w:val="left"/>
            </w:pPr>
            <w:r>
              <w:rPr>
                <w:rFonts w:ascii="Calibri" w:cs="Calibri" w:eastAsia="Calibri" w:hAnsi="Calibri"/>
                <w:b/>
                <w:bCs/>
                <w:i w:val="false"/>
                <w:iCs w:val="false"/>
                <w:color w:val="222222"/>
                <w:sz w:val="19"/>
                <w:szCs w:val="19"/>
              </w:rPr>
              <w:t xml:space="preserve">EBITDA</w:t>
            </w:r>
          </w:p>
        </w:tc>
        <w:tc>
          <w:tcPr>
            <w:tcW w:type="dxa" w:w="1349"/>
            <w:vAlign w:val="center"/>
          </w:tcPr>
          <w:p>
            <w:pPr>
              <w:spacing w:after="40" w:before="40" w:line="252"/>
              <w:jc w:val="left"/>
            </w:pPr>
            <w:r>
              <w:rPr>
                <w:rFonts w:ascii="Calibri" w:cs="Calibri" w:eastAsia="Calibri" w:hAnsi="Calibri"/>
                <w:b/>
                <w:bCs/>
                <w:i w:val="false"/>
                <w:iCs w:val="false"/>
                <w:color w:val="222222"/>
                <w:sz w:val="19"/>
                <w:szCs w:val="19"/>
              </w:rPr>
              <w:t xml:space="preserve">3</w:t>
            </w:r>
          </w:p>
        </w:tc>
        <w:tc>
          <w:tcPr>
            <w:tcW w:type="dxa" w:w="1349"/>
            <w:vAlign w:val="center"/>
          </w:tcPr>
          <w:p>
            <w:pPr>
              <w:spacing w:after="40" w:before="40" w:line="252"/>
              <w:jc w:val="left"/>
            </w:pPr>
            <w:r>
              <w:rPr>
                <w:rFonts w:ascii="Calibri" w:cs="Calibri" w:eastAsia="Calibri" w:hAnsi="Calibri"/>
                <w:b/>
                <w:bCs/>
                <w:i w:val="false"/>
                <w:iCs w:val="false"/>
                <w:color w:val="222222"/>
                <w:sz w:val="19"/>
                <w:szCs w:val="19"/>
              </w:rPr>
              <w:t xml:space="preserve">35</w:t>
            </w:r>
          </w:p>
        </w:tc>
        <w:tc>
          <w:tcPr>
            <w:tcW w:type="dxa" w:w="1349"/>
            <w:vAlign w:val="center"/>
          </w:tcPr>
          <w:p>
            <w:pPr>
              <w:spacing w:after="40" w:before="40" w:line="252"/>
              <w:jc w:val="left"/>
            </w:pPr>
            <w:r>
              <w:rPr>
                <w:rFonts w:ascii="Calibri" w:cs="Calibri" w:eastAsia="Calibri" w:hAnsi="Calibri"/>
                <w:b/>
                <w:bCs/>
                <w:i w:val="false"/>
                <w:iCs w:val="false"/>
                <w:color w:val="222222"/>
                <w:sz w:val="19"/>
                <w:szCs w:val="19"/>
              </w:rPr>
              <w:t xml:space="preserve">152</w:t>
            </w:r>
          </w:p>
        </w:tc>
        <w:tc>
          <w:tcPr>
            <w:tcW w:type="dxa" w:w="1349"/>
            <w:vAlign w:val="center"/>
          </w:tcPr>
          <w:p>
            <w:pPr>
              <w:spacing w:after="40" w:before="40" w:line="252"/>
              <w:jc w:val="left"/>
            </w:pPr>
            <w:r>
              <w:rPr>
                <w:rFonts w:ascii="Calibri" w:cs="Calibri" w:eastAsia="Calibri" w:hAnsi="Calibri"/>
                <w:b/>
                <w:bCs/>
                <w:i w:val="false"/>
                <w:iCs w:val="false"/>
                <w:color w:val="222222"/>
                <w:sz w:val="19"/>
                <w:szCs w:val="19"/>
              </w:rPr>
              <w:t xml:space="preserve">477</w:t>
            </w:r>
          </w:p>
        </w:tc>
        <w:tc>
          <w:tcPr>
            <w:tcW w:type="dxa" w:w="1351"/>
            <w:vAlign w:val="center"/>
          </w:tcPr>
          <w:p>
            <w:pPr>
              <w:spacing w:after="40" w:before="40" w:line="252"/>
              <w:jc w:val="left"/>
            </w:pPr>
            <w:r>
              <w:rPr>
                <w:rFonts w:ascii="Calibri" w:cs="Calibri" w:eastAsia="Calibri" w:hAnsi="Calibri"/>
                <w:b/>
                <w:bCs/>
                <w:i w:val="false"/>
                <w:iCs w:val="false"/>
                <w:color w:val="222222"/>
                <w:sz w:val="19"/>
                <w:szCs w:val="19"/>
              </w:rPr>
              <w:t xml:space="preserve">1,199</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EBITDA margin</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14%</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28%</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36%</w:t>
            </w:r>
          </w:p>
        </w:tc>
        <w:tc>
          <w:tcPr>
            <w:tcW w:type="dxa" w:w="135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41%</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Subscribed businesses (year-end)</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350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1,500</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3,600</w:t>
            </w:r>
          </w:p>
        </w:tc>
        <w:tc>
          <w:tcPr>
            <w:tcW w:type="dxa" w:w="135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7,000</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Credit-visible businesses (year-end)</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120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700</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2,000</w:t>
            </w:r>
          </w:p>
        </w:tc>
        <w:tc>
          <w:tcPr>
            <w:tcW w:type="dxa" w:w="135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4,200</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Certified practices (year-end)</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15</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45</w:t>
            </w:r>
          </w:p>
        </w:tc>
        <w:tc>
          <w:tcPr>
            <w:tcW w:type="dxa" w:w="134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80</w:t>
            </w:r>
          </w:p>
        </w:tc>
        <w:tc>
          <w:tcPr>
            <w:tcW w:type="dxa" w:w="135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110</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Headcount (year-end)</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5</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9</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18</w:t>
            </w:r>
          </w:p>
        </w:tc>
        <w:tc>
          <w:tcPr>
            <w:tcW w:type="dxa" w:w="134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30</w:t>
            </w:r>
          </w:p>
        </w:tc>
        <w:tc>
          <w:tcPr>
            <w:tcW w:type="dxa" w:w="135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46</w:t>
            </w:r>
          </w:p>
        </w:tc>
      </w:tr>
    </w:tbl>
    <w:p>
      <w:pPr>
        <w:spacing w:after="120"/>
      </w:pPr>
    </w:p>
    <w:p>
      <w:pPr>
        <w:pStyle w:val="Heading3"/>
      </w:pPr>
      <w:r>
        <w:t xml:space="preserve">Facilitation take-rate sensitivity (year five, illustrative)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3277"/>
        <w:gridCol w:w="2506"/>
        <w:gridCol w:w="3855"/>
      </w:tblGrid>
      <w:tr>
        <w:trPr>
          <w:tblHeader/>
        </w:trPr>
        <w:tc>
          <w:tcPr>
            <w:tcW w:type="dxa" w:w="3277"/>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Year-5 facilitated volume</w:t>
            </w:r>
          </w:p>
        </w:tc>
        <w:tc>
          <w:tcPr>
            <w:tcW w:type="dxa" w:w="2506"/>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Blended take rate</w:t>
            </w:r>
          </w:p>
        </w:tc>
        <w:tc>
          <w:tcPr>
            <w:tcW w:type="dxa" w:w="385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Facilitation revenue</w:t>
            </w:r>
          </w:p>
        </w:tc>
      </w:tr>
      <w:tr>
        <w:tc>
          <w:tcPr>
            <w:tcW w:type="dxa" w:w="3277"/>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52 billion</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2.0%</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1,040m</w:t>
            </w:r>
          </w:p>
        </w:tc>
      </w:tr>
      <w:tr>
        <w:tc>
          <w:tcPr>
            <w:tcW w:type="dxa" w:w="3277"/>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52 billion</w:t>
            </w:r>
          </w:p>
        </w:tc>
        <w:tc>
          <w:tcPr>
            <w:tcW w:type="dxa" w:w="250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1.5%</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780m</w:t>
            </w:r>
          </w:p>
        </w:tc>
      </w:tr>
      <w:tr>
        <w:tc>
          <w:tcPr>
            <w:tcW w:type="dxa" w:w="3277"/>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52 billion</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1.0%</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520m</w:t>
            </w:r>
          </w:p>
        </w:tc>
      </w:tr>
      <w:tr>
        <w:tc>
          <w:tcPr>
            <w:tcW w:type="dxa" w:w="3277"/>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25 billion</w:t>
            </w:r>
          </w:p>
        </w:tc>
        <w:tc>
          <w:tcPr>
            <w:tcW w:type="dxa" w:w="250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2.0%</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500m</w:t>
            </w:r>
          </w:p>
        </w:tc>
      </w:tr>
      <w:tr>
        <w:tc>
          <w:tcPr>
            <w:tcW w:type="dxa" w:w="3277"/>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25 billion</w:t>
            </w:r>
          </w:p>
        </w:tc>
        <w:tc>
          <w:tcPr>
            <w:tcW w:type="dxa" w:w="250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1.0%</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250m</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The plan does not depend on defending the full two percent through bank negotiation and supplier pricing pressure: even the weakest cell above transforms year five relative to a compliance-only company, and take rates are negotiated per programme, per buyer tier and per tenor rather than assumed.</w:t>
      </w:r>
    </w:p>
    <w:p>
      <w:pPr>
        <w:pStyle w:val="Heading3"/>
      </w:pPr>
      <w:r>
        <w:t xml:space="preserve">The conversion funnel behind the base case (year five)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891"/>
        <w:gridCol w:w="2120"/>
        <w:gridCol w:w="4627"/>
      </w:tblGrid>
      <w:tr>
        <w:trPr>
          <w:tblHeader/>
        </w:trPr>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Funnel step</w:t>
            </w:r>
          </w:p>
        </w:tc>
        <w:tc>
          <w:tcPr>
            <w:tcW w:type="dxa" w:w="2120"/>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Year-5 base case</w:t>
            </w:r>
          </w:p>
        </w:tc>
        <w:tc>
          <w:tcPr>
            <w:tcW w:type="dxa" w:w="4627"/>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Conversion and basis</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Certified practices</w:t>
            </w:r>
          </w:p>
        </w:tc>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110 firms</w:t>
            </w:r>
          </w:p>
        </w:tc>
        <w:tc>
          <w:tcPr>
            <w:tcW w:type="dxa" w:w="4627"/>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Channel recruitment from three anchors through 2026 to 2029.</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Actively selling practices</w:t>
            </w:r>
          </w:p>
        </w:tc>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~72 firms</w:t>
            </w:r>
          </w:p>
        </w:tc>
        <w:tc>
          <w:tcPr>
            <w:tcW w:type="dxa" w:w="4627"/>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About 65 percent activation, measured by client contacts logged, not training attended.</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Subscribed businesses</w:t>
            </w:r>
          </w:p>
        </w:tc>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7,000</w:t>
            </w:r>
          </w:p>
        </w:tc>
        <w:tc>
          <w:tcPr>
            <w:tcW w:type="dxa" w:w="4627"/>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Power-law distribution across firm books, plus a direct share reaching about a fifth of new subscriptions.</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Credit-visible businesses</w:t>
            </w:r>
          </w:p>
        </w:tc>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4,200</w:t>
            </w:r>
          </w:p>
        </w:tc>
        <w:tc>
          <w:tcPr>
            <w:tcW w:type="dxa" w:w="4627"/>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About 60 percent, driven by Buyer Rails coverage of their buyers; visibility is created buyer-side and is not gated by the supplier tier.</w:t>
            </w:r>
          </w:p>
        </w:tc>
      </w:tr>
      <w:tr>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Financing-active businesses</w:t>
            </w:r>
          </w:p>
        </w:tc>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~1,250</w:t>
            </w:r>
          </w:p>
        </w:tc>
        <w:tc>
          <w:tcPr>
            <w:tcW w:type="dxa" w:w="4627"/>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About 30 percent of credit-visible businesses take financing in a given year.</w:t>
            </w:r>
          </w:p>
        </w:tc>
      </w:tr>
      <w:tr>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Facilitated volume</w:t>
            </w:r>
          </w:p>
        </w:tc>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52 billion</w:t>
            </w:r>
          </w:p>
        </w:tc>
        <w:tc>
          <w:tcPr>
            <w:tcW w:type="dxa" w:w="4627"/>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Roughly NGN 42 million average annual financed volume per active business.</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Each row is an assumption to be evidenced, not a fact. The funnel, more than the take rate, is where the model actually lives, and the 90-day plan and its gates exist precisely to test the top rows before anything below them is built.</w:t>
      </w:r>
    </w:p>
    <w:p>
      <w:pPr>
        <w:spacing w:after="140" w:line="276"/>
        <w:jc w:val="both"/>
      </w:pPr>
      <w:r>
        <w:rPr>
          <w:rFonts w:ascii="Calibri" w:cs="Calibri" w:eastAsia="Calibri" w:hAnsi="Calibri"/>
          <w:b w:val="false"/>
          <w:bCs w:val="false"/>
          <w:i w:val="false"/>
          <w:iCs w:val="false"/>
          <w:color w:val="222222"/>
          <w:sz w:val="22"/>
          <w:szCs w:val="22"/>
        </w:rPr>
        <w:t xml:space="preserve">Three features matter more than any single number. The company remains self-funding: services revenue carries the platform build, and banks supply every naira of lending capital, so Act Three's arrival transforms margins without transforming the funding requirement. Revenue quality climbs each year, from fees to subscriptions to infrastructure take on flow. And the model is honest about sequencing: financing fees are gated behind dataset thresholds and a bank pilot, so years one and two are deliberately unglamorous, and the conservative scenario below assumes Act Three never fires at all.</w:t>
      </w:r>
    </w:p>
    <w:p>
      <w:pPr>
        <w:pStyle w:val="Heading2"/>
      </w:pPr>
      <w:r>
        <w:t xml:space="preserve">12.3 Funding strategy</w:t>
      </w:r>
    </w:p>
    <w:p>
      <w:pPr>
        <w:spacing w:after="140" w:line="276"/>
        <w:jc w:val="both"/>
      </w:pPr>
      <w:r>
        <w:rPr>
          <w:rFonts w:ascii="Calibri" w:cs="Calibri" w:eastAsia="Calibri" w:hAnsi="Calibri"/>
          <w:b w:val="false"/>
          <w:bCs w:val="false"/>
          <w:i w:val="false"/>
          <w:iCs w:val="false"/>
          <w:color w:val="222222"/>
          <w:sz w:val="22"/>
          <w:szCs w:val="22"/>
        </w:rPr>
        <w:t xml:space="preserve">Bootstrapped by design: the services phase is the seed round, an optional friends-and-angels note of NGN 75 to 120 million in late 2026 may accelerate the platform build while keeping the founder above eighty-five percent ownership, and venture capital is avoided in the base plan because the objective is a concentrated founder outcome. Version three adds one strategic option exercised only from strength: a minority investment by a design-partner bank at Act Three, valued on infrastructure multiples, which would deepen the funding partnership without ceding control. Working-capital discipline is a stated rule: advisory engagements bill 50 to 70 percent upfront, because Nigerian B2B receivables cycles kill bootstrapped services firms that pretend otherwise.</w:t>
      </w:r>
    </w:p>
    <w:p>
      <w:pPr>
        <w:pStyle w:val="Heading2"/>
      </w:pPr>
      <w:r>
        <w:t xml:space="preserve">12.4 Founder outcome scenarios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542"/>
        <w:gridCol w:w="4433"/>
        <w:gridCol w:w="3663"/>
      </w:tblGrid>
      <w:tr>
        <w:trPr>
          <w:tblHeader/>
        </w:trPr>
        <w:tc>
          <w:tcPr>
            <w:tcW w:type="dxa" w:w="1542"/>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Scenario</w:t>
            </w:r>
          </w:p>
        </w:tc>
        <w:tc>
          <w:tcPr>
            <w:tcW w:type="dxa" w:w="4433"/>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Assumptions</w:t>
            </w:r>
          </w:p>
        </w:tc>
        <w:tc>
          <w:tcPr>
            <w:tcW w:type="dxa" w:w="3663"/>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Illustrative founder outcome (USD, pre-tax)</w:t>
            </w:r>
          </w:p>
        </w:tc>
      </w:tr>
      <w:tr>
        <w:tc>
          <w:tcPr>
            <w:tcW w:type="dxa" w:w="154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Conservative</w:t>
            </w:r>
          </w:p>
        </w:tc>
        <w:tc>
          <w:tcPr>
            <w:tcW w:type="dxa" w:w="443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Act Three never fires (no bank partner or fraud gates fail); the company remains a compliance services-and-software firm at roughly NGN 600-800m mature revenue and NGN 150-200m annual EBITDA.</w:t>
            </w:r>
          </w:p>
        </w:tc>
        <w:tc>
          <w:tcPr>
            <w:tcW w:type="dxa" w:w="366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Cumulative distributions of roughly 500k to 700k by year five at 85 percent-plus ownership; crosses USD 1m via distributions around year six to seven.</w:t>
            </w:r>
          </w:p>
        </w:tc>
      </w:tr>
      <w:tr>
        <w:tc>
          <w:tcPr>
            <w:tcW w:type="dxa" w:w="154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Base</w:t>
            </w:r>
          </w:p>
        </w:tc>
        <w:tc>
          <w:tcPr>
            <w:tcW w:type="dxa" w:w="443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Plan as modelled; exit in year five to seven of a blended compliance-plus-infrastructure business with roughly USD 2m revenue, more than a third of it facilitation fees on NGN 50bn+ of flow; buyers include banks, dual-licensed consolidators and global compliance or embedded-finance platforms.</w:t>
            </w:r>
          </w:p>
        </w:tc>
        <w:tc>
          <w:tcPr>
            <w:tcW w:type="dxa" w:w="3663"/>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Enterprise value of roughly USD 8 to 14m at blended multiples reflecting the infrastructure mix, tempered by a Nigeria discount; founder stake of 80 to 85 percent yields roughly USD 6.5 to 12m, plus prior distributions.</w:t>
            </w:r>
          </w:p>
        </w:tc>
      </w:tr>
      <w:tr>
        <w:tc>
          <w:tcPr>
            <w:tcW w:type="dxa" w:w="154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Upside</w:t>
            </w:r>
          </w:p>
        </w:tc>
        <w:tc>
          <w:tcPr>
            <w:tcW w:type="dxa" w:w="443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Facilitated volume compounds and the playbook replicates into a second African mandate market; USD 4-6m revenue by year six to seven with financing the majority.</w:t>
            </w:r>
          </w:p>
        </w:tc>
        <w:tc>
          <w:tcPr>
            <w:tcW w:type="dxa" w:w="3663"/>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Enterprise value of roughly USD 25 to 40m with strategic competition among bank and platform acquirers.</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The honest reading is unchanged from version two in one respect and upgraded in another: the conservative case alone still clears a US-dollar-millionaire outcome on a five-to-seven-year horizon with high probability, and everything above it is now leverage on a dataset rather than leverage on a deadline, which is a sturdier thing to be leveraged on.</w:t>
      </w:r>
    </w:p>
    <w:p>
      <w:pPr>
        <w:pStyle w:val="Heading1"/>
      </w:pPr>
      <w:r>
        <w:t xml:space="preserve">13. Risk Analysis and Kill Criteria</w:t>
      </w:r>
    </w:p>
    <w:p>
      <w:pPr>
        <w:spacing w:after="140" w:line="276"/>
        <w:jc w:val="both"/>
      </w:pPr>
      <w:r>
        <w:rPr>
          <w:rFonts w:ascii="Calibri" w:cs="Calibri" w:eastAsia="Calibri" w:hAnsi="Calibri"/>
          <w:b w:val="false"/>
          <w:bCs w:val="false"/>
          <w:i w:val="false"/>
          <w:iCs w:val="false"/>
          <w:color w:val="222222"/>
          <w:sz w:val="22"/>
          <w:szCs w:val="22"/>
        </w:rPr>
        <w:t xml:space="preserve">Each material risk carries a mitigation and, where appropriate, a pre-committed kill criterion. Version three updates the register for facts observed since launch planning began and adds the credit-specific risks that Act Three introduces.</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831"/>
        <w:gridCol w:w="2891"/>
        <w:gridCol w:w="3084"/>
        <w:gridCol w:w="1832"/>
      </w:tblGrid>
      <w:tr>
        <w:trPr>
          <w:tblHeader/>
        </w:trPr>
        <w:tc>
          <w:tcPr>
            <w:tcW w:type="dxa" w:w="183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Risk</w:t>
            </w:r>
          </w:p>
        </w:tc>
        <w:tc>
          <w:tcPr>
            <w:tcW w:type="dxa" w:w="2891"/>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Substance</w:t>
            </w:r>
          </w:p>
        </w:tc>
        <w:tc>
          <w:tcPr>
            <w:tcW w:type="dxa" w:w="3084"/>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Mitigation</w:t>
            </w:r>
          </w:p>
        </w:tc>
        <w:tc>
          <w:tcPr>
            <w:tcW w:type="dxa" w:w="1832"/>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Kill criterion</w:t>
            </w:r>
          </w:p>
        </w:tc>
      </w:tr>
      <w:tr>
        <w:tc>
          <w:tcPr>
            <w:tcW w:type="dxa" w:w="183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Soft enforcement (now observed)</w:t>
            </w:r>
          </w:p>
        </w:tc>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Only ~1,000 of ~5,000 large taxpayers integrated months past deadline; enforcement dates have slid; medium-wave enforcement lands in election season.</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Revenue planned on VAT supply-chain contagion, not deadline panic; Act Three demand (bank deployment pressure) is independent of tax deadlines; dataset compounds even under soft enforcement.</w:t>
            </w:r>
          </w:p>
        </w:tc>
        <w:tc>
          <w:tcPr>
            <w:tcW w:type="dxa" w:w="183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Only formal repeal kills the compliance thesis; repeal runs against a tax take up 49 percent year on year. Monitored, not feared.</w:t>
            </w:r>
          </w:p>
        </w:tc>
      </w:tr>
      <w:tr>
        <w:tc>
          <w:tcPr>
            <w:tcW w:type="dxa" w:w="183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Dual-licensed incumbents racing to the endgame</w:t>
            </w:r>
          </w:p>
        </w:tc>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Duplo (payments DNA) and DigiTax (tax-tech DNA) both hold SI and APP licences; Duplo explicitly targets the invoice-to-payment loop.</w:t>
            </w:r>
          </w:p>
        </w:tc>
        <w:tc>
          <w:tcPr>
            <w:tcW w:type="dxa" w:w="308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Bank-neutral, no-settlement positioning neither can copy without abandoning strategy; accountant white-label motion unclaimed; Phase-one APP application; speed through the channel in 2026.</w:t>
            </w:r>
          </w:p>
        </w:tc>
        <w:tc>
          <w:tcPr>
            <w:tcW w:type="dxa" w:w="183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Sustained head-to-head channel losses on product grounds trigger a partnership-or-reposition review.</w:t>
            </w:r>
          </w:p>
        </w:tc>
      </w:tr>
      <w:tr>
        <w:tc>
          <w:tcPr>
            <w:tcW w:type="dxa" w:w="183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Stamp-level fraud (credit-specific)</w:t>
            </w:r>
          </w:p>
        </w:tc>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stamp validates reporting, not commercial truth; related-party and circular invoicing can produce stamped fakes.</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No receivable financed without stamp verification plus buyer confirmation plus fraud screen; concentration limits and buyer-quality tiers; fraud tooling back-tested on the corpus before pilot; first-loss-free structures for MeridianIQ.</w:t>
            </w:r>
          </w:p>
        </w:tc>
        <w:tc>
          <w:tcPr>
            <w:tcW w:type="dxa" w:w="183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Pilot gross loss or confirmed-fraud rate above the spec agreed with the design-partner bank halts scaling; two consecutive breaches end Act Three.</w:t>
            </w:r>
          </w:p>
        </w:tc>
      </w:tr>
      <w:tr>
        <w:tc>
          <w:tcPr>
            <w:tcW w:type="dxa" w:w="183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Bank-partner dependency (credit-specific)</w:t>
            </w:r>
          </w:p>
        </w:tc>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Act Three requires at least one funding institution co-designed in and committed.</w:t>
            </w:r>
          </w:p>
        </w:tc>
        <w:tc>
          <w:tcPr>
            <w:tcW w:type="dxa" w:w="308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Two design partners courted from quarter one with a co-design ask, not a capital ask; the neutral posture and deployment pressure are the pull; pilot structured to be small, clean and reference-grade.</w:t>
            </w:r>
          </w:p>
        </w:tc>
        <w:tc>
          <w:tcPr>
            <w:tcW w:type="dxa" w:w="183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No signed design-partner MOU by 30 June 2027 defers Act Three twelve months; the company continues as a profitable compliance firm.</w:t>
            </w:r>
          </w:p>
        </w:tc>
      </w:tr>
      <w:tr>
        <w:tc>
          <w:tcPr>
            <w:tcW w:type="dxa" w:w="183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Data rights and consent (credit-specific)</w:t>
            </w:r>
          </w:p>
        </w:tc>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 use of client invoice data without airtight consent is regulatory and reputational poison, and bank compliance functions will audit it.</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Three-layer consent architecture (Section 7.2): compliance processing required, aggregated model-development standard with its lawful basis settled by counsel, credit-readiness opt-in packaged as a client benefit; NDPA registration and DPO early; consent lineage on every record.</w:t>
            </w:r>
          </w:p>
        </w:tc>
        <w:tc>
          <w:tcPr>
            <w:tcW w:type="dxa" w:w="183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Counsel unable to approve the architecture blocks Act Three until cured; no exceptions.</w:t>
            </w:r>
          </w:p>
        </w:tc>
      </w:tr>
      <w:tr>
        <w:tc>
          <w:tcPr>
            <w:tcW w:type="dxa" w:w="183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Risk-sharing push-back (credit-specific)</w:t>
            </w:r>
          </w:p>
        </w:tc>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Funders may demand reserve accounts, repurchase obligations, warranties or first-loss cover, converting infrastructure into a risk-bearing credit business.</w:t>
            </w:r>
          </w:p>
        </w:tc>
        <w:tc>
          <w:tcPr>
            <w:tcW w:type="dxa" w:w="308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Perimeter fixed in advance: a capped fraud-and-verification-warranty indemnity, standing behind MeridianIQ’s own checks, is acceptable; credit first-loss, credit-reason repurchase and general guarantees are not.</w:t>
            </w:r>
          </w:p>
        </w:tc>
        <w:tc>
          <w:tcPr>
            <w:tcW w:type="dxa" w:w="183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funder requiring risk-sharing beyond the fraud-only perimeter triggers pause-or-reprice of Act Three; facilitation margins are not silently converted into lender risk.</w:t>
            </w:r>
          </w:p>
        </w:tc>
      </w:tr>
      <w:tr>
        <w:tc>
          <w:tcPr>
            <w:tcW w:type="dxa" w:w="183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Risk-free crowding-out (credit-specific)</w:t>
            </w:r>
          </w:p>
        </w:tc>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With the policy rate at 26.5 percent, banks earn high near-risk-free yields on government securities, blunting appetite for SME receivables risk.</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Falling-rate trajectory; public and policy pressure to lend to SMEs; receivables priced off informal-market comparators, leaving spread even at a sub-two-percent take; appetite tested continuously through design-partner feedback.</w:t>
            </w:r>
          </w:p>
        </w:tc>
        <w:tc>
          <w:tcPr>
            <w:tcW w:type="dxa" w:w="183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Persistent design-partner feedback that sovereign yields crowd out the product defers Act Three until the rate environment turns; the compliance business continues.</w:t>
            </w:r>
          </w:p>
        </w:tc>
      </w:tr>
      <w:tr>
        <w:tc>
          <w:tcPr>
            <w:tcW w:type="dxa" w:w="183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Free government portal</w:t>
            </w:r>
          </w:p>
        </w:tc>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free or low-cost interface for small taxpayers is planned; bare submission may cost nothing.</w:t>
            </w:r>
          </w:p>
        </w:tc>
        <w:tc>
          <w:tcPr>
            <w:tcW w:type="dxa" w:w="308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Live strictly above the portal (reconciliation, VAT shield, multi-client console, ERP); India precedent of coexistence; a portal will never finance an invoice.</w:t>
            </w:r>
          </w:p>
        </w:tc>
        <w:tc>
          <w:tcPr>
            <w:tcW w:type="dxa" w:w="183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Pilot conversion to paid below 40 percent across two full cycles halts platform spend; services continue.</w:t>
            </w:r>
          </w:p>
        </w:tc>
      </w:tr>
      <w:tr>
        <w:tc>
          <w:tcPr>
            <w:tcW w:type="dxa" w:w="183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Channel fails to activate</w:t>
            </w:r>
          </w:p>
        </w:tc>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Firms take training but do not sell.</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Revenue share, implementation-fee share, upgrade bonuses, origination share at Act Three; the dashboard that shows unconverted clients as unearned income.</w:t>
            </w:r>
          </w:p>
        </w:tc>
        <w:tc>
          <w:tcPr>
            <w:tcW w:type="dxa" w:w="183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Fewer than 10 certified practices or fewer than 150 channel-sourced subscriptions by 31 March 2027 forces a channel re-plan.</w:t>
            </w:r>
          </w:p>
        </w:tc>
      </w:tr>
      <w:tr>
        <w:tc>
          <w:tcPr>
            <w:tcW w:type="dxa" w:w="183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Currency depreciation</w:t>
            </w:r>
          </w:p>
        </w:tc>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Naira revenue against partially dollarized costs.</w:t>
            </w:r>
          </w:p>
        </w:tc>
        <w:tc>
          <w:tcPr>
            <w:tcW w:type="dxa" w:w="308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Semi-annual price reviews indexed to the exchange rate; dollar working buffer; facilitation fees scale with nominal volumes; the exit is dollar-denominated.</w:t>
            </w:r>
          </w:p>
        </w:tc>
        <w:tc>
          <w:tcPr>
            <w:tcW w:type="dxa" w:w="183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None; managed continuously.</w:t>
            </w:r>
          </w:p>
        </w:tc>
      </w:tr>
      <w:tr>
        <w:tc>
          <w:tcPr>
            <w:tcW w:type="dxa" w:w="183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SI accreditation timing</w:t>
            </w:r>
          </w:p>
        </w:tc>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Integration revenue is System Integrator activity requiring prior NITDA accreditation; conditions include a one-third Nigerian shareholding, which interacts with the holding-company plan.</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SI application filed at incorporation; counsel-approved partner-delivery bridge (Deliverable 1A); the advisory line is accreditation-independent and sells regardless; structuring counsel signs off before any holding-company step.</w:t>
            </w:r>
          </w:p>
        </w:tc>
        <w:tc>
          <w:tcPr>
            <w:tcW w:type="dxa" w:w="183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No provisional licence and no approvable partner-delivery model by the end of the provisional window pauses the integration line; advisory continues.</w:t>
            </w:r>
          </w:p>
        </w:tc>
      </w:tr>
      <w:tr>
        <w:tc>
          <w:tcPr>
            <w:tcW w:type="dxa" w:w="183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Data residency and NITDA duties</w:t>
            </w:r>
          </w:p>
        </w:tc>
        <w:tc>
          <w:tcPr>
            <w:tcW w:type="dxa" w:w="2891"/>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Encrypted records and invoice data must be stored or backed up in Nigeria; integrator duties span keys, signatures, monitoring, audit logs.</w:t>
            </w:r>
          </w:p>
        </w:tc>
        <w:tc>
          <w:tcPr>
            <w:tcW w:type="dxa" w:w="308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Nigeria-first hosting and budget line from day one; obligations treated as product features and bank-diligence assets.</w:t>
            </w:r>
          </w:p>
        </w:tc>
        <w:tc>
          <w:tcPr>
            <w:tcW w:type="dxa" w:w="183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None; a compliance cost, not a contingency.</w:t>
            </w:r>
          </w:p>
        </w:tc>
      </w:tr>
      <w:tr>
        <w:tc>
          <w:tcPr>
            <w:tcW w:type="dxa" w:w="183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Regulatory-fidelity failure</w:t>
            </w:r>
          </w:p>
        </w:tc>
        <w:tc>
          <w:tcPr>
            <w:tcW w:type="dxa" w:w="2891"/>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client penalized, or a funder misled, through MeridianIQ error.</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Tax-lead review of every playbook change; immutable logs; sandbox testing; the dataset-integrity discipline of Section 11.2; professional indemnity cover.</w:t>
            </w:r>
          </w:p>
        </w:tc>
        <w:tc>
          <w:tcPr>
            <w:tcW w:type="dxa" w:w="183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pattern of fidelity failures is existential and is treated as such.</w:t>
            </w:r>
          </w:p>
        </w:tc>
      </w:tr>
    </w:tbl>
    <w:p>
      <w:pPr>
        <w:spacing w:after="120"/>
      </w:pPr>
    </w:p>
    <w:p>
      <w:pPr>
        <w:pStyle w:val="Heading1"/>
      </w:pPr>
      <w:r>
        <w:t xml:space="preserve">14. Exit and Liquidity Strategy</w:t>
      </w:r>
    </w:p>
    <w:p>
      <w:pPr>
        <w:spacing w:after="140" w:line="276"/>
        <w:jc w:val="both"/>
      </w:pPr>
      <w:r>
        <w:rPr>
          <w:rFonts w:ascii="Calibri" w:cs="Calibri" w:eastAsia="Calibri" w:hAnsi="Calibri"/>
          <w:b w:val="false"/>
          <w:bCs w:val="false"/>
          <w:i w:val="false"/>
          <w:iCs w:val="false"/>
          <w:color w:val="222222"/>
          <w:sz w:val="22"/>
          <w:szCs w:val="22"/>
        </w:rPr>
        <w:t xml:space="preserve">Version three widens the acquirer universe from one class to three. First, the global tax-compliance consolidators of the original thesis, Sovos, whose footprint was assembled by acquiring local mandate specialists, and Thomson Reuters, which paid on the order of eight hundred million dollars for Pagero, remain natural buyers of the Act One asset: accreditation, channel and a compliant client base in Africa's largest e-invoicing mandate. Second, the local and regional consolidation now visibly underway: a dual-licensed platform absorbing the accountant-originated long tail it cannot build is a straightforward transaction. Third, and new, the financial system itself: a recapitalised bank buying its own origination layer, or a global embedded-finance and receivables platform buying a proven, consent-clean African data asset with facilitation revenue attached; infrastructure revenue on flow commands different multiples from SME software seats, which is why the base-case valuation band widened between versions. The honest tempering stands: Nigerian revenue carries a country discount, and the realistic single most likely buyer is local, at local multiples, unless the second-market replication has begun.</w:t>
      </w:r>
    </w:p>
    <w:p>
      <w:pPr>
        <w:spacing w:after="140" w:line="276"/>
        <w:jc w:val="both"/>
      </w:pPr>
      <w:r>
        <w:rPr>
          <w:rFonts w:ascii="Calibri" w:cs="Calibri" w:eastAsia="Calibri" w:hAnsi="Calibri"/>
          <w:b w:val="false"/>
          <w:bCs w:val="false"/>
          <w:i w:val="false"/>
          <w:iCs w:val="false"/>
          <w:color w:val="222222"/>
          <w:sz w:val="22"/>
          <w:szCs w:val="22"/>
        </w:rPr>
        <w:t xml:space="preserve">Liquidity is engineered along the way rather than deferred: surplus cash distributes from year two under a stated policy; audited accounts from the first full year; ARR, churn, facilitated volume and loss rates reported with acquirer-grade discipline; the offshore holding structure in place before, not during, any institutional conversation. The default plan is a trade sale in the year-five-to-seven window; the fallback, which the conservative scenario shows is sufficient on its own, is continuing to own a compliance annuity in a market where the customer is legally forbidden to churn back to paper, with an option on the credit business that never expires as long as the dataset keeps compounding.</w:t>
      </w:r>
    </w:p>
    <w:p>
      <w:pPr>
        <w:pStyle w:val="Heading1"/>
      </w:pPr>
      <w:r>
        <w:t xml:space="preserve">15. Milestones: the 90-Day Evidence Plan and the Act-Based Roadmap</w:t>
      </w:r>
    </w:p>
    <w:p>
      <w:pPr>
        <w:spacing w:after="140" w:line="276"/>
        <w:jc w:val="both"/>
      </w:pPr>
      <w:r>
        <w:rPr>
          <w:rFonts w:ascii="Calibri" w:cs="Calibri" w:eastAsia="Calibri" w:hAnsi="Calibri"/>
          <w:b w:val="false"/>
          <w:bCs w:val="false"/>
          <w:i w:val="false"/>
          <w:iCs w:val="false"/>
          <w:color w:val="222222"/>
          <w:sz w:val="22"/>
          <w:szCs w:val="22"/>
        </w:rPr>
        <w:t xml:space="preserve">The launch quarter is governed by evidence, not construction, and version 3.2 tiers that evidence. P0 deliverables are existential, covering legality, people and paid demand, and nothing else proceeds without them. P1 deliverables shape the platform and the credit product. P2 deliverables are valuable and deferrable. The tiers double as a staged kill-structure: if P0 passes and P1 fails, a profitable advisory business still exists. All items are due by early October 2026; each is defined as proof, not activity.</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675"/>
        <w:gridCol w:w="675"/>
        <w:gridCol w:w="3662"/>
        <w:gridCol w:w="4626"/>
      </w:tblGrid>
      <w:tr>
        <w:trPr>
          <w:tblHeader/>
        </w:trPr>
        <w:tc>
          <w:tcPr>
            <w:tcW w:type="dxa" w:w="67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Tier</w:t>
            </w:r>
          </w:p>
        </w:tc>
        <w:tc>
          <w:tcPr>
            <w:tcW w:type="dxa" w:w="67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t>
            </w:r>
          </w:p>
        </w:tc>
        <w:tc>
          <w:tcPr>
            <w:tcW w:type="dxa" w:w="3662"/>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Deliverable (by early October 2026)</w:t>
            </w:r>
          </w:p>
        </w:tc>
        <w:tc>
          <w:tcPr>
            <w:tcW w:type="dxa" w:w="4626"/>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Standard of evidence</w:t>
            </w:r>
          </w:p>
        </w:tc>
      </w:tr>
      <w:tr>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0</w:t>
            </w:r>
          </w:p>
        </w:tc>
        <w:tc>
          <w:tcPr>
            <w:tcW w:type="dxa" w:w="366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Tax lead and qualifying director secured.</w:t>
            </w:r>
          </w:p>
        </w:tc>
        <w:tc>
          <w:tcPr>
            <w:tcW w:type="dxa" w:w="462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Signed offer and equity terms for an ICAN- or CITN-qualified tax lead; a director with five years of digital-technology experience seated, satisfying the NITDA SI condition. The true binding constraint of the ninety days is a hire.</w:t>
            </w:r>
          </w:p>
        </w:tc>
      </w:tr>
      <w:tr>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w:t>
            </w:r>
          </w:p>
        </w:tc>
        <w:tc>
          <w:tcPr>
            <w:tcW w:type="dxa" w:w="366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Two signed APP partnerships.</w:t>
            </w:r>
          </w:p>
        </w:tc>
        <w:tc>
          <w:tcPr>
            <w:tcW w:type="dxa" w:w="462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Sandbox and API access, commercial terms and support escalation paths in writing.</w:t>
            </w:r>
          </w:p>
        </w:tc>
      </w:tr>
      <w:tr>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1A</w:t>
            </w:r>
          </w:p>
        </w:tc>
        <w:tc>
          <w:tcPr>
            <w:tcW w:type="dxa" w:w="366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SI accreditation path confirmed.</w:t>
            </w:r>
          </w:p>
        </w:tc>
        <w:tc>
          <w:tcPr>
            <w:tcW w:type="dxa" w:w="462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NITDA SI application submitted and accepted or provisional licence received, or a counsel-approved model for delivering paid integration work under an accredited partner without breaching SI rules.</w:t>
            </w:r>
          </w:p>
        </w:tc>
      </w:tr>
      <w:tr>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w:t>
            </w:r>
          </w:p>
        </w:tc>
        <w:tc>
          <w:tcPr>
            <w:tcW w:type="dxa" w:w="366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Five paid accountant-firm pilots.</w:t>
            </w:r>
          </w:p>
        </w:tc>
        <w:tc>
          <w:tcPr>
            <w:tcW w:type="dxa" w:w="462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Invoiced pilots with named eligible clients attached; letters of intent do not count.</w:t>
            </w:r>
          </w:p>
        </w:tc>
      </w:tr>
      <w:tr>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w:t>
            </w:r>
          </w:p>
        </w:tc>
        <w:tc>
          <w:tcPr>
            <w:tcW w:type="dxa" w:w="366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Booked advisory-led revenue.</w:t>
            </w:r>
          </w:p>
        </w:tc>
        <w:tc>
          <w:tcPr>
            <w:tcW w:type="dxa" w:w="462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15 to 25 million invoiced to medium taxpayers, 50 to 70 percent collected upfront; integration billings only under a cleared Deliverable 1A path.</w:t>
            </w:r>
          </w:p>
        </w:tc>
      </w:tr>
      <w:tr>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w:t>
            </w:r>
          </w:p>
        </w:tc>
        <w:tc>
          <w:tcPr>
            <w:tcW w:type="dxa" w:w="366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Ten completed readiness assessments.</w:t>
            </w:r>
          </w:p>
        </w:tc>
        <w:tc>
          <w:tcPr>
            <w:tcW w:type="dxa" w:w="462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Repeatable templates plus a catalogue of the twenty most frequent validation and integration failures.</w:t>
            </w:r>
          </w:p>
        </w:tc>
      </w:tr>
      <w:tr>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5</w:t>
            </w:r>
          </w:p>
        </w:tc>
        <w:tc>
          <w:tcPr>
            <w:tcW w:type="dxa" w:w="366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Supplier VAT-risk check productized.</w:t>
            </w:r>
          </w:p>
        </w:tc>
        <w:tc>
          <w:tcPr>
            <w:tcW w:type="dxa" w:w="462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Sold at least five times to the buyer side; each engagement yields a supplier lead list and a mapped buyer-supplier graph.</w:t>
            </w:r>
          </w:p>
        </w:tc>
      </w:tr>
      <w:tr>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8</w:t>
            </w:r>
          </w:p>
        </w:tc>
        <w:tc>
          <w:tcPr>
            <w:tcW w:type="dxa" w:w="366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Counsel memo (compliance and structure).</w:t>
            </w:r>
          </w:p>
        </w:tc>
        <w:tc>
          <w:tcPr>
            <w:tcW w:type="dxa" w:w="462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Written opinion settling thresholds and the effective floor, integrator obligations and liability, the SI delivery model and shareholding condition, and permissible marketing claims.</w:t>
            </w:r>
          </w:p>
        </w:tc>
      </w:tr>
      <w:tr>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P0</w:t>
            </w:r>
          </w:p>
        </w:tc>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9</w:t>
            </w:r>
          </w:p>
        </w:tc>
        <w:tc>
          <w:tcPr>
            <w:tcW w:type="dxa" w:w="366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Data-rights architecture executed.</w:t>
            </w:r>
          </w:p>
        </w:tc>
        <w:tc>
          <w:tcPr>
            <w:tcW w:type="dxa" w:w="462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Counsel-drafted three-layer consent live in the standard agreement and signed by every client to date; underwriting-grade schema v0 in production.</w:t>
            </w:r>
          </w:p>
        </w:tc>
      </w:tr>
      <w:tr>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P1</w:t>
            </w:r>
          </w:p>
        </w:tc>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w:t>
            </w:r>
          </w:p>
        </w:tc>
        <w:tc>
          <w:tcPr>
            <w:tcW w:type="dxa" w:w="366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Free-portal teardown.</w:t>
            </w:r>
          </w:p>
        </w:tc>
        <w:tc>
          <w:tcPr>
            <w:tcW w:type="dxa" w:w="462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Written memo: what the portal does well, where it fails, what clients will pay for above it; gates platform-build scope.</w:t>
            </w:r>
          </w:p>
        </w:tc>
      </w:tr>
      <w:tr>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P1</w:t>
            </w:r>
          </w:p>
        </w:tc>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10</w:t>
            </w:r>
          </w:p>
        </w:tc>
        <w:tc>
          <w:tcPr>
            <w:tcW w:type="dxa" w:w="366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Written underwriting specification iterated with two banks.</w:t>
            </w:r>
          </w:p>
        </w:tc>
        <w:tc>
          <w:tcPr>
            <w:tcW w:type="dxa" w:w="462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ten-field specification of Appendix C presented to two named institutions, with a documented feedback memo from each.</w:t>
            </w:r>
          </w:p>
        </w:tc>
      </w:tr>
      <w:tr>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P1</w:t>
            </w:r>
          </w:p>
        </w:tc>
        <w:tc>
          <w:tcPr>
            <w:tcW w:type="dxa" w:w="67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11</w:t>
            </w:r>
          </w:p>
        </w:tc>
        <w:tc>
          <w:tcPr>
            <w:tcW w:type="dxa" w:w="3662"/>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Three buyer-confirmation pilots.</w:t>
            </w:r>
          </w:p>
        </w:tc>
        <w:tc>
          <w:tcPr>
            <w:tcW w:type="dxa" w:w="4626"/>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At least 50 real supplier invoices confirmed by buyer-side finance teams inside the workflow, with settlement status tracked; the direct test of Act Three’s true bottleneck.</w:t>
            </w:r>
          </w:p>
        </w:tc>
      </w:tr>
      <w:tr>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P2</w:t>
            </w:r>
          </w:p>
        </w:tc>
        <w:tc>
          <w:tcPr>
            <w:tcW w:type="dxa" w:w="67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6</w:t>
            </w:r>
          </w:p>
        </w:tc>
        <w:tc>
          <w:tcPr>
            <w:tcW w:type="dxa" w:w="3662"/>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One professional-body training session.</w:t>
            </w:r>
          </w:p>
        </w:tc>
        <w:tc>
          <w:tcPr>
            <w:tcW w:type="dxa" w:w="4626"/>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Delivered with measured conversion into paid consultations.</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Platform investment accelerates only when three gates pass together: three to five certified firms actively selling, measured by client contacts logged; one hundred-plus named end-business prospects from partner client books; and pilot willingness-to-pay at or above forty percent. Act Three carries its own gates, listed in the roadmap below; missing them defers the credit business and leaves a profitable compliance firm, which is the designed failure mode.</w:t>
      </w:r>
    </w:p>
    <w:p>
      <w:pPr>
        <w:pStyle w:val="Heading2"/>
      </w:pPr>
      <w:r>
        <w:t xml:space="preserve">15.1 The act-based roadmap</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735"/>
        <w:gridCol w:w="4819"/>
        <w:gridCol w:w="3084"/>
      </w:tblGrid>
      <w:tr>
        <w:trPr>
          <w:tblHeader/>
        </w:trPr>
        <w:tc>
          <w:tcPr>
            <w:tcW w:type="dxa" w:w="173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Phase</w:t>
            </w:r>
          </w:p>
        </w:tc>
        <w:tc>
          <w:tcPr>
            <w:tcW w:type="dxa" w:w="4819"/>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Milestones</w:t>
            </w:r>
          </w:p>
        </w:tc>
        <w:tc>
          <w:tcPr>
            <w:tcW w:type="dxa" w:w="3084"/>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Gate / kill check</w:t>
            </w:r>
          </w:p>
        </w:tc>
      </w:tr>
      <w:tr>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Act One build (Q4 2026)</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Own-APP application filed; 20 cumulative advisory clients; penalty calculator and explainers live; CPD sessions running; platform build begins only if gates passed; optional angel note.</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25m+ cumulative revenue booked, majority collected.</w:t>
            </w:r>
          </w:p>
        </w:tc>
      </w:tr>
      <w:tr>
        <w:tc>
          <w:tcPr>
            <w:tcW w:type="dxa" w:w="173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Act One prove (H1 2027)</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Medium-wave enforcement window converted: 35+ cumulative engagements; platform alpha with anchor firms; certified-practice programme open; bank design-partner sessions running against anonymized data.</w:t>
            </w:r>
          </w:p>
        </w:tc>
        <w:tc>
          <w:tcPr>
            <w:tcW w:type="dxa" w:w="308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KILL CHECK: 10+ certified practices by 31 March 2027; 40%+ pilot conversion by Q2.</w:t>
            </w:r>
          </w:p>
        </w:tc>
      </w:tr>
      <w:tr>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Act Two thresholds (2027)</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Small-wave platform launch in July; 300+ credit-observable businesses by year-end, of which 120+ fully credit-visible (six-plus months stamped, confirmed, settlement-tracked); fraud tooling back-tested; counsel opinion on assignment and perfection delivered; Buyer Rails legal pack executed with the first anchor buyers.</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GATE: conditional bank MOU with draft facility economics (advance rate, tenor, pricing, loss triggers, risk-sharing perimeter) by 30 June 2027, or Act Three defers twelve months.</w:t>
            </w:r>
          </w:p>
        </w:tc>
      </w:tr>
      <w:tr>
        <w:tc>
          <w:tcPr>
            <w:tcW w:type="dxa" w:w="173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Act Three pilot (H2 2027 - H1 2028)</w:t>
            </w:r>
          </w:p>
        </w:tc>
        <w:tc>
          <w:tcPr>
            <w:tcW w:type="dxa" w:w="4819"/>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Pilot-facility approval targeted December 2027, conditional on the credit-observable threshold, the counsel opinion, buyer-confirmation results and a no-first-loss structure; first bank-funded facility live in H1 2028: small, concentrated on top-tier confirmed buyers, first-loss-free to MeridianIQ; losses and fraud tracked against the agreed spec; accountant origination share live.</w:t>
            </w:r>
          </w:p>
        </w:tc>
        <w:tc>
          <w:tcPr>
            <w:tcW w:type="dxa" w:w="3084"/>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KILL CHECK: losses or fraud above spec halt scaling; two breaches end Act Three.</w:t>
            </w:r>
          </w:p>
        </w:tc>
      </w:tr>
      <w:tr>
        <w:tc>
          <w:tcPr>
            <w:tcW w:type="dxa" w:w="173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Scale (2028+)</w:t>
            </w:r>
          </w:p>
        </w:tc>
        <w:tc>
          <w:tcPr>
            <w:tcW w:type="dxa" w:w="4819"/>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Facilitated volume compounds into the small-wave enforcement date; second bank onboarded; own-APP accreditation completing; second-market assessment (the mandate map: Kenya, Ghana, Zambia, Egypt) with entry only behind a local partner.</w:t>
            </w:r>
          </w:p>
        </w:tc>
        <w:tc>
          <w:tcPr>
            <w:tcW w:type="dxa" w:w="3084"/>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EBITDA positive every quarter; loss rates within spec for four consecutive quarters before market two.</w:t>
            </w:r>
          </w:p>
        </w:tc>
      </w:tr>
    </w:tbl>
    <w:p>
      <w:pPr>
        <w:spacing w:after="120"/>
      </w:pPr>
    </w:p>
    <w:p>
      <w:pPr>
        <w:pBdr>
          <w:top w:val="single" w:color="DDE7E4" w:sz="2" w:space="4"/>
          <w:bottom w:val="single" w:color="DDE7E4" w:sz="2" w:space="4"/>
          <w:left w:val="single" w:color="C9A227" w:sz="24" w:space="8"/>
          <w:right w:val="single" w:color="DDE7E4" w:sz="2" w:space="4"/>
        </w:pBdr>
        <w:shd w:fill="F2F6F5" w:color="auto" w:val="clear"/>
        <w:spacing w:after="200" w:before="160" w:line="276"/>
        <w:ind w:left="120" w:right="120"/>
        <w:jc w:val="left"/>
      </w:pPr>
      <w:r>
        <w:rPr>
          <w:rFonts w:ascii="Calibri" w:cs="Calibri" w:eastAsia="Calibri" w:hAnsi="Calibri"/>
          <w:b/>
          <w:bCs/>
          <w:i w:val="false"/>
          <w:iCs w:val="false"/>
          <w:color w:val="0A3833"/>
          <w:sz w:val="22"/>
          <w:szCs w:val="22"/>
        </w:rPr>
        <w:t xml:space="preserve">The operating one-liner, version three: </w:t>
      </w:r>
      <w:r>
        <w:rPr>
          <w:rFonts w:ascii="Calibri" w:cs="Calibri" w:eastAsia="Calibri" w:hAnsi="Calibri"/>
          <w:b w:val="false"/>
          <w:bCs w:val="false"/>
          <w:i/>
          <w:iCs/>
          <w:color w:val="333333"/>
          <w:sz w:val="22"/>
          <w:szCs w:val="22"/>
        </w:rPr>
        <w:t xml:space="preserve">the mandate makes Nigerian businesses visible; the recapitalisation makes Nigerian banks hungry; MeridianIQ is the toll booth between the two, and compliance software is how it pays for the seat.</w:t>
      </w:r>
    </w:p>
    <w:p>
      <w:r>
        <w:br w:type="page"/>
      </w:r>
    </w:p>
    <w:p>
      <w:pPr>
        <w:pStyle w:val="Heading1"/>
      </w:pPr>
      <w:r>
        <w:t xml:space="preserve">Appendix A: Regulatory Reference and Verification Notes</w:t>
      </w:r>
    </w:p>
    <w:p>
      <w:pPr>
        <w:spacing w:after="140" w:line="276"/>
        <w:jc w:val="both"/>
      </w:pPr>
      <w:r>
        <w:rPr>
          <w:rFonts w:ascii="Calibri" w:cs="Calibri" w:eastAsia="Calibri" w:hAnsi="Calibri"/>
          <w:b w:val="false"/>
          <w:bCs w:val="false"/>
          <w:i w:val="false"/>
          <w:iCs w:val="false"/>
          <w:color w:val="222222"/>
          <w:sz w:val="22"/>
          <w:szCs w:val="22"/>
        </w:rPr>
        <w:t xml:space="preserve">The facts relied on in this plan are drawn from public reporting current to July 2026: the phased e-invoicing timetable (large taxpayers from 1 November 2025 with enforcement slipping from January toward mid-2026; medium taxpayers from 1 July 2026 with enforcement January to March 2027; emerging taxpayers from July 2027 with enforcement from January 2028); the penalty framework under sections 103 and 104 of the Nigeria Tax Administration Act; disallowance of VAT input claims on non-validated invoices; the Peppol BIS Billing 3.0 / UBL standard and national Peppol Authority designation; the NITDA accreditation framework and its data-residency and operational obligations; reported integration of roughly 1,000 of 5,000 large taxpayers as of early 2026; tax collections of NGN 15.8 trillion in January to May 2026, up 49 percent year on year; the March 2026 dual SI-and-APP licensing of Duplo, the equivalent accreditation of DigiTax/Namiri, and the June 2026 dual accreditation of Doftwerks West Africa (the Stransact/RSM technology subsidiary) and the January 2026 SI accreditation of Pillarcraft Cloud Solutions, a second accountancy-owned integrator; the NITDA 2025 guideline conditions for SI accreditation (a NGN 1 million application fee, NGN 10 million paid-up capital, a minimum one-third Nigerian shareholding, NDPA evidence, documented policies and a qualifying director, with a six-month provisional licence); the official MBS service-provider directory as the living reference for the accredited roster; CWG Plc's appointment as a system integrator; and the banking recapitalisation concluded 31 March 2026 with NGN 4.65 trillion raised across 33 compliant banks, alongside a policy rate eased to 26.5 percent by February 2026.</w:t>
      </w:r>
    </w:p>
    <w:p>
      <w:pPr>
        <w:spacing w:after="140" w:line="276"/>
        <w:jc w:val="both"/>
      </w:pPr>
      <w:r>
        <w:rPr>
          <w:rFonts w:ascii="Calibri" w:cs="Calibri" w:eastAsia="Calibri" w:hAnsi="Calibri"/>
          <w:b w:val="false"/>
          <w:bCs w:val="false"/>
          <w:i w:val="false"/>
          <w:iCs w:val="false"/>
          <w:color w:val="222222"/>
          <w:sz w:val="22"/>
          <w:szCs w:val="22"/>
        </w:rPr>
        <w:t xml:space="preserve">Cautions. First, turnover thresholds are reported inconsistently even among major-firm summaries (NGN 100 million in some authoritative alerts, NGN 50 million citing section 56 of the Nigeria Tax Act in others, with the Tax Administration Act separately defining a small business at NGN 100 million); at least one rollout deadline has been extended, and the definitive position at any moment is the current circular of the tax authority, maintained in a living regulatory register reviewed monthly by the tax lead. Second, the institutional renaming from FIRS to the Nigeria Revenue Service means guidance may issue under either name. Third, Act Three rests on legal questions that this plan flags but cannot settle: enforceability and priority of receivables assignment, perfection through the collateral-registry framework for movable assets, consent sufficiency under the Nigeria Data Protection Act for credit-assessment processing, the regulatory perimeter for a non-lending facilitation platform, the SI-accreditation delivery model and shareholding condition, and the Buyer Rails template pack (tri-party confirmation, assignment notice and acknowledgment, collection-account instruction, no-set-off acknowledgment); formal opinions from qualified Nigerian counsel on each are pre-pilot deliverables and are budgeted. Nothing in this appendix or plan is legal, tax or investment advice.</w:t>
      </w:r>
    </w:p>
    <w:p>
      <w:pPr>
        <w:pStyle w:val="Heading1"/>
      </w:pPr>
      <w:r>
        <w:t xml:space="preserve">Appendix B: Glossary</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2120"/>
        <w:gridCol w:w="7518"/>
      </w:tblGrid>
      <w:tr>
        <w:trPr>
          <w:tblHeader/>
        </w:trPr>
        <w:tc>
          <w:tcPr>
            <w:tcW w:type="dxa" w:w="2120"/>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Term</w:t>
            </w:r>
          </w:p>
        </w:tc>
        <w:tc>
          <w:tcPr>
            <w:tcW w:type="dxa" w:w="751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Meaning</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APP</w:t>
            </w:r>
          </w:p>
        </w:tc>
        <w:tc>
          <w:tcPr>
            <w:tcW w:type="dxa" w:w="751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Access Point Provider: a NITDA-accredited operator through which businesses connect to the national e-invoicing platform.</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confirmation</w:t>
            </w:r>
          </w:p>
        </w:tc>
        <w:tc>
          <w:tcPr>
            <w:tcW w:type="dxa" w:w="751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workflow in which a buyer verifies a supplier invoice, protecting its VAT input credit and simultaneously establishing the commercial truth that makes the receivable financeable.</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Buyer Rails</w:t>
            </w:r>
          </w:p>
        </w:tc>
        <w:tc>
          <w:tcPr>
            <w:tcW w:type="dxa" w:w="751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MeridianIQ’s standardized anchor-buyer programme: confirmation of invoice validity, acceptance of assignment and notice mechanics, and a designated, observable payment route.</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Credit-observable business</w:t>
            </w:r>
          </w:p>
        </w:tc>
        <w:tc>
          <w:tcPr>
            <w:tcW w:type="dxa" w:w="751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client whose stamped invoices have begun flowing through the platform; the wider dataset tier (300+ targeted by end-2027).</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Credit-visible business</w:t>
            </w:r>
          </w:p>
        </w:tc>
        <w:tc>
          <w:tcPr>
            <w:tcW w:type="dxa" w:w="751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client holding six or more months of stamped invoice history with confirmed buyers and observed settlement behaviour; the bank-grade tier (120+ targeted by fiscal year-two-end).</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CSID / IRN</w:t>
            </w:r>
          </w:p>
        </w:tc>
        <w:tc>
          <w:tcPr>
            <w:tcW w:type="dxa" w:w="751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Cryptographic Stamp Identifier and Invoice Reference Number: the validation artifacts the tax authority attaches to a compliant e-invoice; without them an invoice is non-compliant.</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Facilitation fee</w:t>
            </w:r>
          </w:p>
        </w:tc>
        <w:tc>
          <w:tcPr>
            <w:tcW w:type="dxa" w:w="751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MeridianIQ's charge, illustratively 1.5 to 2.5 percent of face value, for originating, verifying and scoring a financed receivable funded by a partner bank.</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FIRS / NRS</w:t>
            </w:r>
          </w:p>
        </w:tc>
        <w:tc>
          <w:tcPr>
            <w:tcW w:type="dxa" w:w="751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Federal Inland Revenue Service, renamed the Nigeria Revenue Service under the 2025 Tax Reform Acts.</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MBS / EFS</w:t>
            </w:r>
          </w:p>
        </w:tc>
        <w:tc>
          <w:tcPr>
            <w:tcW w:type="dxa" w:w="751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Merchant-Buyer Solution, the national e-invoicing platform, within the broader Electronic Fiscal System.</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NITDA</w:t>
            </w:r>
          </w:p>
        </w:tc>
        <w:tc>
          <w:tcPr>
            <w:tcW w:type="dxa" w:w="751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National Information Technology Development Agency: issuer of technical guidelines and accreditations for e-invoicing intermediaries.</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NTA / NTAA</w:t>
            </w:r>
          </w:p>
        </w:tc>
        <w:tc>
          <w:tcPr>
            <w:tcW w:type="dxa" w:w="751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Nigeria Tax Act and Nigeria Tax Administration Act 2025: the statutes establishing fiscalisation obligations and penalties.</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Peppol / UBL</w:t>
            </w:r>
          </w:p>
        </w:tc>
        <w:tc>
          <w:tcPr>
            <w:tcW w:type="dxa" w:w="751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international interoperability network and document standard (BIS Billing 3.0, Universal Business Language) adopted for Nigerian e-invoices.</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System Integrator</w:t>
            </w:r>
          </w:p>
        </w:tc>
        <w:tc>
          <w:tcPr>
            <w:tcW w:type="dxa" w:w="751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An accredited implementer connecting business systems to the platform via APP rails; MeridianIQ launch posture.</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Verified receivable</w:t>
            </w:r>
          </w:p>
        </w:tc>
        <w:tc>
          <w:tcPr>
            <w:tcW w:type="dxa" w:w="751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stamped, buyer-confirmed, fraud-screened invoice meeting the underwriting specification agreed with a design-partner bank.</w:t>
            </w:r>
          </w:p>
        </w:tc>
      </w:tr>
      <w:tr>
        <w:tc>
          <w:tcPr>
            <w:tcW w:type="dxa" w:w="2120"/>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ICAN / CITN / ANAN</w:t>
            </w:r>
          </w:p>
        </w:tc>
        <w:tc>
          <w:tcPr>
            <w:tcW w:type="dxa" w:w="751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Nigerian professional bodies for chartered accountants and tax practitioners; the institutional home of the distribution channel.</w:t>
            </w:r>
          </w:p>
        </w:tc>
      </w:tr>
      <w:tr>
        <w:tc>
          <w:tcPr>
            <w:tcW w:type="dxa" w:w="2120"/>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ARR</w:t>
            </w:r>
          </w:p>
        </w:tc>
        <w:tc>
          <w:tcPr>
            <w:tcW w:type="dxa" w:w="751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Annual recurring revenue: the annualized value of active subscriptions.</w:t>
            </w:r>
          </w:p>
        </w:tc>
      </w:tr>
    </w:tbl>
    <w:p>
      <w:pPr>
        <w:pStyle w:val="Heading1"/>
      </w:pPr>
      <w:r>
        <w:t xml:space="preserve">Appendix C: The Ten-Field Underwriting Specification</w:t>
      </w:r>
    </w:p>
    <w:p>
      <w:pPr>
        <w:spacing w:after="140" w:line="276"/>
        <w:jc w:val="both"/>
      </w:pPr>
      <w:r>
        <w:rPr>
          <w:rFonts w:ascii="Calibri" w:cs="Calibri" w:eastAsia="Calibri" w:hAnsi="Calibri"/>
          <w:b w:val="false"/>
          <w:bCs w:val="false"/>
          <w:i w:val="false"/>
          <w:iCs w:val="false"/>
          <w:color w:val="222222"/>
          <w:sz w:val="22"/>
          <w:szCs w:val="22"/>
        </w:rPr>
        <w:t xml:space="preserve">This is the artifact behind Deliverable 10: the concrete ask put to design-partner banks. Every cell in the right-hand column is an opening position, stated so that bank feedback replaces assumption with evidence; none of it is a commitment until a facility document says so.</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60"/>
          <w:left w:type="dxa" w:w="110"/>
          <w:bottom w:type="dxa" w:w="60"/>
          <w:right w:type="dxa" w:w="110"/>
        </w:tblCellMar>
      </w:tblPr>
      <w:tblGrid>
        <w:gridCol w:w="1928"/>
        <w:gridCol w:w="3855"/>
        <w:gridCol w:w="3855"/>
      </w:tblGrid>
      <w:tr>
        <w:trPr>
          <w:tblHeader/>
        </w:trPr>
        <w:tc>
          <w:tcPr>
            <w:tcW w:type="dxa" w:w="1928"/>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Field</w:t>
            </w:r>
          </w:p>
        </w:tc>
        <w:tc>
          <w:tcPr>
            <w:tcW w:type="dxa" w:w="385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What it specifies</w:t>
            </w:r>
          </w:p>
        </w:tc>
        <w:tc>
          <w:tcPr>
            <w:tcW w:type="dxa" w:w="3855"/>
            <w:shd w:fill="0E4C45" w:color="auto" w:val="clear"/>
            <w:vAlign w:val="center"/>
          </w:tcPr>
          <w:p>
            <w:pPr>
              <w:spacing w:after="40" w:before="40" w:line="252"/>
              <w:jc w:val="left"/>
            </w:pPr>
            <w:r>
              <w:rPr>
                <w:rFonts w:ascii="Calibri" w:cs="Calibri" w:eastAsia="Calibri" w:hAnsi="Calibri"/>
                <w:b/>
                <w:bCs/>
                <w:i w:val="false"/>
                <w:iCs w:val="false"/>
                <w:color w:val="FFFFFF"/>
                <w:sz w:val="19"/>
                <w:szCs w:val="19"/>
              </w:rPr>
              <w:t xml:space="preserve">Illustrative opening position</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 Receivable size</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Face value per financed invoice.</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NGN 2 million to 25 million.</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2. Eligible buyers</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Which confirmed buyers qualify as anchors.</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Large-taxpayer anchors active in Buyer Rails with clean observed payment history.</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3. Invoice age</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Maximum days from stamp to funding.</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Fifteen days.</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4. Confirmation method</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commercial-truth check.</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In-workflow buyer confirmation; no-set-off acknowledgment where obtainable.</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5. Payment control</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repayment rail.</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Bank-owned collection account under acknowledged notice of assignment (Section 7.4).</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6. Advance rate</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Share of face value funded.</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70 to 85 percent, tiered by buyer quality.</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7. Tenor</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Time from funding to maturity.</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Thirty to ninety days.</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8. Pricing</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The supplier discount and its split.</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Benchmarked between bank SME rates and informal-market rates; bank yield plus a MeridianIQ facilitation fee of 1.5 to 2.5 percent of face value.</w:t>
            </w:r>
          </w:p>
        </w:tc>
      </w:tr>
      <w:tr>
        <w:tc>
          <w:tcPr>
            <w:tcW w:type="dxa" w:w="1928"/>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9. Loss and fraud triggers</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Thresholds that halt or end the pilot.</w:t>
            </w:r>
          </w:p>
        </w:tc>
        <w:tc>
          <w:tcPr>
            <w:tcW w:type="dxa" w:w="3855"/>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Set jointly in the facility spec; breach halts scaling, two consecutive breaches end Act Three.</w:t>
            </w:r>
          </w:p>
        </w:tc>
      </w:tr>
      <w:tr>
        <w:tc>
          <w:tcPr>
            <w:tcW w:type="dxa" w:w="1928"/>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10. Risk-sharing ask</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What MeridianIQ will and will not hold.</w:t>
            </w:r>
          </w:p>
        </w:tc>
        <w:tc>
          <w:tcPr>
            <w:tcW w:type="dxa" w:w="3855"/>
            <w:shd w:fill="F4F8F7" w:color="auto" w:val="clear"/>
            <w:vAlign w:val="center"/>
          </w:tcPr>
          <w:p>
            <w:pPr>
              <w:spacing w:after="40" w:before="40" w:line="252"/>
              <w:jc w:val="left"/>
            </w:pPr>
            <w:r>
              <w:rPr>
                <w:rFonts w:ascii="Calibri" w:cs="Calibri" w:eastAsia="Calibri" w:hAnsi="Calibri"/>
                <w:b w:val="false"/>
                <w:bCs w:val="false"/>
                <w:i w:val="false"/>
                <w:iCs w:val="false"/>
                <w:color w:val="222222"/>
                <w:sz w:val="19"/>
                <w:szCs w:val="19"/>
              </w:rPr>
              <w:t xml:space="preserve">A capped fraud-and-verification warranty only; no credit first-loss, no credit-reason repurchase, no general guarantees.</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8E6" w:sz="4" w:space="4"/>
      </w:pBdr>
      <w:tabs>
        <w:tab w:val="right" w:pos="9638"/>
      </w:tabs>
    </w:pPr>
    <w:r>
      <w:rPr>
        <w:rFonts w:ascii="Calibri" w:cs="Calibri" w:eastAsia="Calibri" w:hAnsi="Calibri"/>
        <w:color w:val="9AA5A2"/>
        <w:sz w:val="16"/>
        <w:szCs w:val="16"/>
      </w:rPr>
      <w:t xml:space="preserve">MeridianIQ — Confidential</w:t>
    </w:r>
    <w:r>
      <w:rPr>
        <w:sz w:val="16"/>
        <w:szCs w:val="16"/>
      </w:rPr>
      <w:t xml:space="preserve">	</w:t>
    </w:r>
    <w:r>
      <w:rPr>
        <w:rFonts w:ascii="Calibri" w:cs="Calibri" w:eastAsia="Calibri" w:hAnsi="Calibri"/>
        <w:color w:val="9AA5A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8E6" w:sz="4" w:space="4"/>
      </w:pBdr>
      <w:spacing w:after="0"/>
      <w:jc w:val="right"/>
    </w:pPr>
    <w:r>
      <w:rPr>
        <w:rFonts w:ascii="Calibri" w:cs="Calibri" w:eastAsia="Calibri" w:hAnsi="Calibri"/>
        <w:color w:val="9AA5A2"/>
        <w:sz w:val="16"/>
        <w:szCs w:val="16"/>
      </w:rPr>
      <w:t xml:space="preserve">MeridianIQ Business Plan v3.2  ·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3"/>
      </w:pBdr>
      <w:spacing w:after="180" w:before="360"/>
    </w:pPr>
    <w:rPr>
      <w:rFonts w:ascii="Calibri" w:cs="Calibri" w:eastAsia="Calibri" w:hAnsi="Calibri"/>
      <w:b/>
      <w:bCs/>
      <w:color w:val="0E4C45"/>
      <w:sz w:val="31"/>
      <w:szCs w:val="31"/>
    </w:rPr>
  </w:style>
  <w:style w:type="paragraph" w:styleId="Heading2">
    <w:name w:val="Heading 2"/>
    <w:basedOn w:val="Normal"/>
    <w:next w:val="Normal"/>
    <w:qFormat/>
    <w:pPr>
      <w:keepNext/>
      <w:spacing w:after="120" w:before="260"/>
    </w:pPr>
    <w:rPr>
      <w:rFonts w:ascii="Calibri" w:cs="Calibri" w:eastAsia="Calibri" w:hAnsi="Calibri"/>
      <w:b/>
      <w:bCs/>
      <w:color w:val="0A3833"/>
      <w:sz w:val="25"/>
      <w:szCs w:val="25"/>
    </w:rPr>
  </w:style>
  <w:style w:type="paragraph" w:styleId="Heading3">
    <w:name w:val="Heading 3"/>
    <w:basedOn w:val="Normal"/>
    <w:next w:val="Normal"/>
    <w:qFormat/>
    <w:pPr>
      <w:keepNext/>
      <w:spacing w:after="100" w:before="200"/>
    </w:pPr>
    <w:rPr>
      <w:rFonts w:ascii="Calibri" w:cs="Calibri" w:eastAsia="Calibri" w:hAnsi="Calibri"/>
      <w:b/>
      <w:bCs/>
      <w:color w:val="3E4B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MeridianIQ Business Plan v3.2</dc:title>
  <dc:creator>MeridianIQ</dc:creator>
  <dc:description>Version 3.2: compliance wedge to verified-receivables credit infrastructure (terminal documentation pass)</dc:description>
  <cp:lastModifiedBy>Un-named</cp:lastModifiedBy>
  <cp:revision>1</cp:revision>
  <dcterms:created xsi:type="dcterms:W3CDTF">2026-07-07T07:00:52.439Z</dcterms:created>
  <dcterms:modified xsi:type="dcterms:W3CDTF">2026-07-07T07:00:52.439Z</dcterms:modified>
</cp:coreProperties>
</file>

<file path=docProps/custom.xml><?xml version="1.0" encoding="utf-8"?>
<Properties xmlns="http://schemas.openxmlformats.org/officeDocument/2006/custom-properties" xmlns:vt="http://schemas.openxmlformats.org/officeDocument/2006/docPropsVTypes"/>
</file>