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00"/>
      </w:pPr>
    </w:p>
    <w:p>
      <w:pPr>
        <w:spacing w:after="120"/>
        <w:jc w:val="center"/>
      </w:pPr>
      <w:r>
        <w:rPr>
          <w:rFonts w:ascii="Calibri" w:cs="Calibri" w:eastAsia="Calibri" w:hAnsi="Calibri"/>
          <w:b/>
          <w:bCs/>
          <w:color w:val="0E4C45"/>
          <w:sz w:val="84"/>
          <w:szCs w:val="84"/>
        </w:rPr>
        <w:t xml:space="preserve">MeridianIQ</w:t>
      </w:r>
    </w:p>
    <w:p>
      <w:pPr>
        <w:spacing w:after="260"/>
        <w:jc w:val="center"/>
      </w:pPr>
      <w:r>
        <w:rPr>
          <w:rFonts w:ascii="Calibri" w:cs="Calibri" w:eastAsia="Calibri" w:hAnsi="Calibri"/>
          <w:b/>
          <w:bCs/>
          <w:color w:val="0A3833"/>
          <w:sz w:val="44"/>
          <w:szCs w:val="44"/>
        </w:rPr>
        <w:t xml:space="preserve">Product Roadmap</w:t>
      </w:r>
    </w:p>
    <w:p>
      <w:pPr>
        <w:spacing w:after="520"/>
        <w:jc w:val="center"/>
      </w:pPr>
      <w:r>
        <w:rPr>
          <w:rFonts w:ascii="Calibri" w:cs="Calibri" w:eastAsia="Calibri" w:hAnsi="Calibri"/>
          <w:color w:val="5A5A5A"/>
          <w:sz w:val="26"/>
          <w:szCs w:val="26"/>
        </w:rPr>
        <w:t xml:space="preserve">From compliance field kit to verified-receivables infrastructure — one data spine, six releases, every gate earned</w:t>
      </w:r>
    </w:p>
    <w:p>
      <w:pPr>
        <w:spacing w:after="140"/>
        <w:jc w:val="center"/>
      </w:pPr>
      <w:r>
        <w:rPr>
          <w:rFonts w:ascii="Calibri" w:cs="Calibri" w:eastAsia="Calibri" w:hAnsi="Calibri"/>
          <w:b/>
          <w:bCs/>
          <w:color w:val="C9A227"/>
          <w:sz w:val="22"/>
          <w:szCs w:val="22"/>
        </w:rPr>
        <w:t xml:space="preserve">COMPANION TO BUSINESS PLAN v3.2</w:t>
      </w:r>
    </w:p>
    <w:p>
      <w:pPr>
        <w:spacing w:after="2700"/>
        <w:jc w:val="center"/>
      </w:pPr>
      <w:r>
        <w:rPr>
          <w:rFonts w:ascii="Calibri" w:cs="Calibri" w:eastAsia="Calibri" w:hAnsi="Calibri"/>
          <w:color w:val="5A5A5A"/>
          <w:sz w:val="22"/>
          <w:szCs w:val="22"/>
        </w:rPr>
        <w:t xml:space="preserve">Version 1.1  ·  July 2026  ·  Lagos, Nigeria</w:t>
      </w:r>
    </w:p>
    <w:p>
      <w:pPr>
        <w:jc w:val="center"/>
      </w:pPr>
      <w:r>
        <w:rPr>
          <w:rFonts w:ascii="Calibri" w:cs="Calibri" w:eastAsia="Calibri" w:hAnsi="Calibri"/>
          <w:i/>
          <w:iCs/>
          <w:color w:val="5A5A5A"/>
          <w:sz w:val="18"/>
          <w:szCs w:val="18"/>
        </w:rPr>
        <w:t xml:space="preserve">Confidential. A living execution document: releases unlock on evidence gates, not calendar dates. Dates shown are planning targets.</w:t>
      </w:r>
    </w:p>
    <w:p>
      <w:r>
        <w:br w:type="page"/>
      </w:r>
    </w:p>
    <w:p>
      <w:pPr>
        <w:pStyle w:val="Heading1"/>
      </w:pPr>
      <w:r>
        <w:t xml:space="preserve">Contents</w:t>
      </w:r>
    </w:p>
    <w:p>
      <w:pPr>
        <w:spacing w:after="90" w:line="276"/>
        <w:jc w:val="left"/>
      </w:pPr>
      <w:r>
        <w:rPr>
          <w:rFonts w:ascii="Calibri" w:cs="Calibri" w:eastAsia="Calibri" w:hAnsi="Calibri"/>
          <w:b w:val="false"/>
          <w:bCs w:val="false"/>
          <w:i w:val="false"/>
          <w:iCs w:val="false"/>
          <w:color w:val="222222"/>
          <w:sz w:val="23"/>
          <w:szCs w:val="23"/>
        </w:rPr>
        <w:t xml:space="preserve">1.  How to Read This Roadmap</w:t>
      </w:r>
    </w:p>
    <w:p>
      <w:pPr>
        <w:spacing w:after="90" w:line="276"/>
        <w:jc w:val="left"/>
      </w:pPr>
      <w:r>
        <w:rPr>
          <w:rFonts w:ascii="Calibri" w:cs="Calibri" w:eastAsia="Calibri" w:hAnsi="Calibri"/>
          <w:b w:val="false"/>
          <w:bCs w:val="false"/>
          <w:i w:val="false"/>
          <w:iCs w:val="false"/>
          <w:color w:val="222222"/>
          <w:sz w:val="23"/>
          <w:szCs w:val="23"/>
        </w:rPr>
        <w:t xml:space="preserve">2.  Product Vision and Principles</w:t>
      </w:r>
    </w:p>
    <w:p>
      <w:pPr>
        <w:spacing w:after="90" w:line="276"/>
        <w:jc w:val="left"/>
      </w:pPr>
      <w:r>
        <w:rPr>
          <w:rFonts w:ascii="Calibri" w:cs="Calibri" w:eastAsia="Calibri" w:hAnsi="Calibri"/>
          <w:b w:val="false"/>
          <w:bCs w:val="false"/>
          <w:i w:val="false"/>
          <w:iCs w:val="false"/>
          <w:color w:val="222222"/>
          <w:sz w:val="23"/>
          <w:szCs w:val="23"/>
        </w:rPr>
        <w:t xml:space="preserve">3.  Personas and Jobs to Be Done</w:t>
      </w:r>
    </w:p>
    <w:p>
      <w:pPr>
        <w:spacing w:after="90" w:line="276"/>
        <w:jc w:val="left"/>
      </w:pPr>
      <w:r>
        <w:rPr>
          <w:rFonts w:ascii="Calibri" w:cs="Calibri" w:eastAsia="Calibri" w:hAnsi="Calibri"/>
          <w:b w:val="false"/>
          <w:bCs w:val="false"/>
          <w:i w:val="false"/>
          <w:iCs w:val="false"/>
          <w:color w:val="222222"/>
          <w:sz w:val="23"/>
          <w:szCs w:val="23"/>
        </w:rPr>
        <w:t xml:space="preserve">4.  Product Architecture: the Seven Surfaces</w:t>
      </w:r>
    </w:p>
    <w:p>
      <w:pPr>
        <w:spacing w:after="90" w:line="276"/>
        <w:jc w:val="left"/>
      </w:pPr>
      <w:r>
        <w:rPr>
          <w:rFonts w:ascii="Calibri" w:cs="Calibri" w:eastAsia="Calibri" w:hAnsi="Calibri"/>
          <w:b w:val="false"/>
          <w:bCs w:val="false"/>
          <w:i w:val="false"/>
          <w:iCs w:val="false"/>
          <w:color w:val="222222"/>
          <w:sz w:val="23"/>
          <w:szCs w:val="23"/>
        </w:rPr>
        <w:t xml:space="preserve">5.  Now / Next / Later at a Glance</w:t>
      </w:r>
    </w:p>
    <w:p>
      <w:pPr>
        <w:spacing w:after="90" w:line="276"/>
        <w:jc w:val="left"/>
      </w:pPr>
      <w:r>
        <w:rPr>
          <w:rFonts w:ascii="Calibri" w:cs="Calibri" w:eastAsia="Calibri" w:hAnsi="Calibri"/>
          <w:b w:val="false"/>
          <w:bCs w:val="false"/>
          <w:i w:val="false"/>
          <w:iCs w:val="false"/>
          <w:color w:val="222222"/>
          <w:sz w:val="23"/>
          <w:szCs w:val="23"/>
        </w:rPr>
        <w:t xml:space="preserve">6.  Release Plan (R0 to R5)</w:t>
      </w:r>
    </w:p>
    <w:p>
      <w:pPr>
        <w:spacing w:after="90" w:line="276"/>
        <w:jc w:val="left"/>
      </w:pPr>
      <w:r>
        <w:rPr>
          <w:rFonts w:ascii="Calibri" w:cs="Calibri" w:eastAsia="Calibri" w:hAnsi="Calibri"/>
          <w:b w:val="false"/>
          <w:bCs w:val="false"/>
          <w:i w:val="false"/>
          <w:iCs w:val="false"/>
          <w:color w:val="222222"/>
          <w:sz w:val="23"/>
          <w:szCs w:val="23"/>
        </w:rPr>
        <w:t xml:space="preserve">7.  Cross-Cutting Workstreams</w:t>
      </w:r>
    </w:p>
    <w:p>
      <w:pPr>
        <w:spacing w:after="90" w:line="276"/>
        <w:jc w:val="left"/>
      </w:pPr>
      <w:r>
        <w:rPr>
          <w:rFonts w:ascii="Calibri" w:cs="Calibri" w:eastAsia="Calibri" w:hAnsi="Calibri"/>
          <w:b w:val="false"/>
          <w:bCs w:val="false"/>
          <w:i w:val="false"/>
          <w:iCs w:val="false"/>
          <w:color w:val="222222"/>
          <w:sz w:val="23"/>
          <w:szCs w:val="23"/>
        </w:rPr>
        <w:t xml:space="preserve">8.  Metrics That Matter, by Stage</w:t>
      </w:r>
    </w:p>
    <w:p>
      <w:pPr>
        <w:spacing w:after="90" w:line="276"/>
        <w:jc w:val="left"/>
      </w:pPr>
      <w:r>
        <w:rPr>
          <w:rFonts w:ascii="Calibri" w:cs="Calibri" w:eastAsia="Calibri" w:hAnsi="Calibri"/>
          <w:b w:val="false"/>
          <w:bCs w:val="false"/>
          <w:i w:val="false"/>
          <w:iCs w:val="false"/>
          <w:color w:val="222222"/>
          <w:sz w:val="23"/>
          <w:szCs w:val="23"/>
        </w:rPr>
        <w:t xml:space="preserve">9.  Dependencies, Assumptions and Roadmap Risks</w:t>
      </w:r>
    </w:p>
    <w:p>
      <w:pPr>
        <w:spacing w:after="90" w:line="276"/>
        <w:jc w:val="left"/>
      </w:pPr>
      <w:r>
        <w:rPr>
          <w:rFonts w:ascii="Calibri" w:cs="Calibri" w:eastAsia="Calibri" w:hAnsi="Calibri"/>
          <w:b w:val="false"/>
          <w:bCs w:val="false"/>
          <w:i w:val="false"/>
          <w:iCs w:val="false"/>
          <w:color w:val="222222"/>
          <w:sz w:val="23"/>
          <w:szCs w:val="23"/>
        </w:rPr>
        <w:t xml:space="preserve">10. Roadmap Governance: How This Document Changes</w:t>
      </w:r>
    </w:p>
    <w:p>
      <w:pPr>
        <w:spacing w:after="90" w:line="276"/>
        <w:jc w:val="left"/>
      </w:pPr>
      <w:r>
        <w:rPr>
          <w:rFonts w:ascii="Calibri" w:cs="Calibri" w:eastAsia="Calibri" w:hAnsi="Calibri"/>
          <w:b w:val="false"/>
          <w:bCs w:val="false"/>
          <w:i w:val="false"/>
          <w:iCs w:val="false"/>
          <w:color w:val="222222"/>
          <w:sz w:val="23"/>
          <w:szCs w:val="23"/>
        </w:rPr>
        <w:t xml:space="preserve">Appendix A: Deliverable-to-Product Traceability</w:t>
      </w:r>
    </w:p>
    <w:p>
      <w:pPr>
        <w:spacing w:after="90" w:line="276"/>
        <w:jc w:val="left"/>
      </w:pPr>
      <w:r>
        <w:rPr>
          <w:rFonts w:ascii="Calibri" w:cs="Calibri" w:eastAsia="Calibri" w:hAnsi="Calibri"/>
          <w:b w:val="false"/>
          <w:bCs w:val="false"/>
          <w:i w:val="false"/>
          <w:iCs w:val="false"/>
          <w:color w:val="222222"/>
          <w:sz w:val="23"/>
          <w:szCs w:val="23"/>
        </w:rPr>
        <w:t xml:space="preserve">Appendix B: Operating Definitions</w:t>
      </w:r>
    </w:p>
    <w:p>
      <w:r>
        <w:br w:type="page"/>
      </w:r>
    </w:p>
    <w:p>
      <w:pPr>
        <w:pStyle w:val="Heading1"/>
      </w:pPr>
      <w:r>
        <w:t xml:space="preserve">1. How to Read This Roadmap</w:t>
      </w:r>
    </w:p>
    <w:p>
      <w:pPr>
        <w:spacing w:after="140" w:line="276"/>
        <w:jc w:val="both"/>
      </w:pPr>
      <w:r>
        <w:rPr>
          <w:rFonts w:ascii="Calibri" w:cs="Calibri" w:eastAsia="Calibri" w:hAnsi="Calibri"/>
          <w:b w:val="false"/>
          <w:bCs w:val="false"/>
          <w:i w:val="false"/>
          <w:iCs w:val="false"/>
          <w:color w:val="222222"/>
          <w:sz w:val="22"/>
          <w:szCs w:val="22"/>
        </w:rPr>
        <w:t xml:space="preserve">This document is the execution companion to Business Plan v3.2. The plan answers why and whether; this roadmap answers what gets built, in what order, and what evidence unlocks each stage. Two rules govern everything in it. First, releases are gated, not scheduled: every release after R0 opens only when its named gate from the plan is passed, so the dates shown are planning targets while the gates are commitments. If a gate slips, the release slips with it and the previous release keeps earning. Second, the roadmap is deliberately smaller than the plan: the business plan was declared complete at v3.2 and changes only when evidence does, whereas this roadmap is expected to change constantly, because that is what contact with users does to roadmaps. Anything here that survives its first five accountant conversations unchanged should be treated with suspicion.</w:t>
      </w:r>
    </w:p>
    <w:p>
      <w:pPr>
        <w:pBdr>
          <w:top w:val="single" w:color="DDE7E4" w:sz="2" w:space="4"/>
          <w:bottom w:val="single" w:color="DDE7E4" w:sz="2" w:space="4"/>
          <w:left w:val="single" w:color="C9A227" w:sz="24" w:space="8"/>
          <w:right w:val="single" w:color="DDE7E4" w:sz="2" w:space="4"/>
        </w:pBdr>
        <w:shd w:fill="F2F6F5" w:color="auto" w:val="clear"/>
        <w:spacing w:after="200" w:before="160" w:line="276"/>
        <w:ind w:left="120" w:right="120"/>
        <w:jc w:val="left"/>
      </w:pPr>
      <w:r>
        <w:rPr>
          <w:rFonts w:ascii="Calibri" w:cs="Calibri" w:eastAsia="Calibri" w:hAnsi="Calibri"/>
          <w:b/>
          <w:bCs/>
          <w:i w:val="false"/>
          <w:iCs w:val="false"/>
          <w:color w:val="0A3833"/>
          <w:sz w:val="22"/>
          <w:szCs w:val="22"/>
        </w:rPr>
        <w:t xml:space="preserve">The build philosophy in one line: </w:t>
      </w:r>
      <w:r>
        <w:rPr>
          <w:rFonts w:ascii="Calibri" w:cs="Calibri" w:eastAsia="Calibri" w:hAnsi="Calibri"/>
          <w:b w:val="false"/>
          <w:bCs w:val="false"/>
          <w:i w:val="false"/>
          <w:iCs w:val="false"/>
          <w:color w:val="333333"/>
          <w:sz w:val="22"/>
          <w:szCs w:val="22"/>
        </w:rPr>
        <w:t xml:space="preserve">sell the service, tool the service, productize the tool, and let the buyer-side workflow quietly assemble the credit rails. Nothing is built ahead of the evidence that someone will pay for it.</w:t>
      </w:r>
    </w:p>
    <w:p>
      <w:pPr>
        <w:spacing w:after="140" w:line="276"/>
        <w:jc w:val="both"/>
      </w:pPr>
      <w:r>
        <w:rPr>
          <w:rFonts w:ascii="Calibri" w:cs="Calibri" w:eastAsia="Calibri" w:hAnsi="Calibri"/>
          <w:b/>
          <w:bCs/>
          <w:i w:val="false"/>
          <w:iCs w:val="false"/>
          <w:color w:val="222222"/>
          <w:sz w:val="22"/>
          <w:szCs w:val="22"/>
        </w:rPr>
        <w:t xml:space="preserve">Revision note (v1.1, July 2026): </w:t>
      </w:r>
      <w:r>
        <w:rPr>
          <w:rFonts w:ascii="Calibri" w:cs="Calibri" w:eastAsia="Calibri" w:hAnsi="Calibri"/>
          <w:b w:val="false"/>
          <w:bCs w:val="false"/>
          <w:i w:val="false"/>
          <w:iCs w:val="false"/>
          <w:color w:val="222222"/>
          <w:sz w:val="22"/>
          <w:szCs w:val="22"/>
        </w:rPr>
        <w:t xml:space="preserve">incorporates an external build review of v1.0. Material changes: an R0 capacity budget in engineer-weeks (Section 6), R1 trimmed to a true MVP with revenue-share automation demoted to a monthly export, R2 re-centred on the two questions that matter with B2C reporting evidence-gated, the R3 fraud layer restated as rules-first with statistical claims deferred, a precise definition of actively selling attached to the R1 gate, a credit-note and cancellation row added to R4, and an operating-definitions appendix added. The governing asymmetry stands: scope may be cut at will; no gated release moves forward of its gate.</w:t>
      </w:r>
    </w:p>
    <w:p>
      <w:pPr>
        <w:pStyle w:val="Heading1"/>
      </w:pPr>
      <w:r>
        <w:t xml:space="preserve">2. Product Vision and Principles</w:t>
      </w:r>
    </w:p>
    <w:p>
      <w:pPr>
        <w:spacing w:after="140" w:line="276"/>
        <w:jc w:val="both"/>
      </w:pPr>
      <w:r>
        <w:rPr>
          <w:rFonts w:ascii="Calibri" w:cs="Calibri" w:eastAsia="Calibri" w:hAnsi="Calibri"/>
          <w:b w:val="false"/>
          <w:bCs w:val="false"/>
          <w:i w:val="false"/>
          <w:iCs w:val="false"/>
          <w:color w:val="222222"/>
          <w:sz w:val="22"/>
          <w:szCs w:val="22"/>
        </w:rPr>
        <w:t xml:space="preserve">The product vision restates the plan in build terms: one data spine that serves two products. Every artifact MeridianIQ creates, an assessment template, a submitted invoice, a buyer confirmation, a reconciliation match, writes to a single underwriting-grade schema with consent lineage, so that the compliance product and the eventual credit product are two views of the same data rather than two systems. The compliance surfaces exist to make Nigerian formality painless; the data spine exists so that painlessness compounds into financeability.</w:t>
      </w:r>
    </w:p>
    <w:p>
      <w:pPr>
        <w:spacing w:after="140" w:line="276"/>
        <w:jc w:val="both"/>
      </w:pPr>
      <w:r>
        <w:rPr>
          <w:rFonts w:ascii="Calibri" w:cs="Calibri" w:eastAsia="Calibri" w:hAnsi="Calibri"/>
          <w:b w:val="false"/>
          <w:bCs w:val="false"/>
          <w:i w:val="false"/>
          <w:iCs w:val="false"/>
          <w:color w:val="222222"/>
          <w:sz w:val="22"/>
          <w:szCs w:val="22"/>
        </w:rPr>
        <w:t xml:space="preserve">Eight principles decide every scoping argument. One: live above the free portal, never beside it — bare submission is a commodity, so MeridianIQ builds only what a government portal will never do well: workflow, reconciliation, protection, multi-client management. Two: the accountant is a first-class user, not a channel abstraction — every SME feature ships with its console twin. Three: buyer-side actions create supplier-side value — the confirmation a buyer performs for its own VAT protection is the same event that makes a supplier financeable, and the product treats it as one event, recorded once. Four: consent lineage on every record, because a dataset that cannot show its permission trail cannot be shown to a bank. Five: Nigeria-first infrastructure — data residency, low-bandwidth tolerance, offline-capable capture, WhatsApp and SMS as delivery channels for anything urgent, since a deadline alert that needs a desktop browser is not an alert. Six: service-wrapped software wherever self-serve fails — the Compliance Desk tier is a product feature, not an apology, and its operator tooling is roadmap-first-class. Seven: never touch funds — every financing feature is data, workflow and instruction; money moves bank-to-supplier and buyer-to-bank, and no MeridianIQ surface ever holds a naira. Eight: regulatory fidelity is a feature — the sandbox harness, the immutable audit log and the release checklist exist because one client penalized by a MeridianIQ defect costs more than every feature on this roadmap.</w:t>
      </w:r>
    </w:p>
    <w:p>
      <w:pPr>
        <w:pStyle w:val="Heading1"/>
      </w:pPr>
      <w:r>
        <w:t xml:space="preserve">3. Personas and Jobs to Be Done</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60"/>
          <w:left w:type="dxa" w:w="110"/>
          <w:bottom w:type="dxa" w:w="60"/>
          <w:right w:type="dxa" w:w="110"/>
        </w:tblCellMar>
      </w:tblPr>
      <w:tblGrid>
        <w:gridCol w:w="1542"/>
        <w:gridCol w:w="3855"/>
        <w:gridCol w:w="2313"/>
        <w:gridCol w:w="1928"/>
      </w:tblGrid>
      <w:tr>
        <w:trPr>
          <w:tblHeader/>
        </w:trPr>
        <w:tc>
          <w:tcPr>
            <w:tcW w:type="dxa" w:w="1542"/>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Persona</w:t>
            </w:r>
          </w:p>
        </w:tc>
        <w:tc>
          <w:tcPr>
            <w:tcW w:type="dxa" w:w="3855"/>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Job to be done</w:t>
            </w:r>
          </w:p>
        </w:tc>
        <w:tc>
          <w:tcPr>
            <w:tcW w:type="dxa" w:w="2313"/>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Primary surface</w:t>
            </w:r>
          </w:p>
        </w:tc>
        <w:tc>
          <w:tcPr>
            <w:tcW w:type="dxa" w:w="1928"/>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First release</w:t>
            </w:r>
          </w:p>
        </w:tc>
      </w:tr>
      <w:tr>
        <w:tc>
          <w:tcPr>
            <w:tcW w:type="dxa" w:w="1542"/>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SME owner / bookkeeper</w:t>
            </w:r>
          </w:p>
        </w:tc>
        <w:tc>
          <w:tcPr>
            <w:tcW w:type="dxa" w:w="385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Issue invoices my buyers and the NRS will accept, never lose a stamped record, never get a penalty letter, and one day get paid early against invoices I have already earned.</w:t>
            </w:r>
          </w:p>
        </w:tc>
        <w:tc>
          <w:tcPr>
            <w:tcW w:type="dxa" w:w="2313"/>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SME Compliance App; Compliance Desk</w:t>
            </w:r>
          </w:p>
        </w:tc>
        <w:tc>
          <w:tcPr>
            <w:tcW w:type="dxa" w:w="192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R1</w:t>
            </w:r>
          </w:p>
        </w:tc>
      </w:tr>
      <w:tr>
        <w:tc>
          <w:tcPr>
            <w:tcW w:type="dxa" w:w="1542"/>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Accountant partner (mid-tier or sole practice)</w:t>
            </w:r>
          </w:p>
        </w:tc>
        <w:tc>
          <w:tcPr>
            <w:tcW w:type="dxa" w:w="385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Move my whole client book into compliance without hiring engineers, see every client's risk in one screen, earn recurring income on software and, later, on financing I originate.</w:t>
            </w:r>
          </w:p>
        </w:tc>
        <w:tc>
          <w:tcPr>
            <w:tcW w:type="dxa" w:w="2313"/>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Accountant Console (white-label)</w:t>
            </w:r>
          </w:p>
        </w:tc>
        <w:tc>
          <w:tcPr>
            <w:tcW w:type="dxa" w:w="192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R1</w:t>
            </w:r>
          </w:p>
        </w:tc>
      </w:tr>
      <w:tr>
        <w:tc>
          <w:tcPr>
            <w:tcW w:type="dxa" w:w="1542"/>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Buyer finance team (anchor)</w:t>
            </w:r>
          </w:p>
        </w:tc>
        <w:tc>
          <w:tcPr>
            <w:tcW w:type="dxa" w:w="385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Protect our input-VAT position by verifying supplier invoices, keep suppliers stable, and do both without new manual work.</w:t>
            </w:r>
          </w:p>
        </w:tc>
        <w:tc>
          <w:tcPr>
            <w:tcW w:type="dxa" w:w="2313"/>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Buyer Rails</w:t>
            </w:r>
          </w:p>
        </w:tc>
        <w:tc>
          <w:tcPr>
            <w:tcW w:type="dxa" w:w="192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R2</w:t>
            </w:r>
          </w:p>
        </w:tc>
      </w:tr>
      <w:tr>
        <w:tc>
          <w:tcPr>
            <w:tcW w:type="dxa" w:w="1542"/>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Bank credit and portfolio officer</w:t>
            </w:r>
          </w:p>
        </w:tc>
        <w:tc>
          <w:tcPr>
            <w:tcW w:type="dxa" w:w="385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Fund short receivables at scale against evidence I can audit, with fraud screened before I see the file and repayment observable end to end.</w:t>
            </w:r>
          </w:p>
        </w:tc>
        <w:tc>
          <w:tcPr>
            <w:tcW w:type="dxa" w:w="2313"/>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Bank Workbench; data room</w:t>
            </w:r>
          </w:p>
        </w:tc>
        <w:tc>
          <w:tcPr>
            <w:tcW w:type="dxa" w:w="192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R3-R4</w:t>
            </w:r>
          </w:p>
        </w:tc>
      </w:tr>
      <w:tr>
        <w:tc>
          <w:tcPr>
            <w:tcW w:type="dxa" w:w="1542"/>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MeridianIQ operator (Compliance Desk and implementation)</w:t>
            </w:r>
          </w:p>
        </w:tc>
        <w:tc>
          <w:tcPr>
            <w:tcW w:type="dxa" w:w="385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Run submissions and resolve validation failures for many clients fast, with the playbook in the tool rather than in my head.</w:t>
            </w:r>
          </w:p>
        </w:tc>
        <w:tc>
          <w:tcPr>
            <w:tcW w:type="dxa" w:w="2313"/>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Operator tooling; error catalogue</w:t>
            </w:r>
          </w:p>
        </w:tc>
        <w:tc>
          <w:tcPr>
            <w:tcW w:type="dxa" w:w="192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R0-R1</w:t>
            </w:r>
          </w:p>
        </w:tc>
      </w:tr>
    </w:tbl>
    <w:p>
      <w:pPr>
        <w:spacing w:after="120"/>
      </w:pPr>
    </w:p>
    <w:p>
      <w:pPr>
        <w:pStyle w:val="Heading1"/>
      </w:pPr>
      <w:r>
        <w:t xml:space="preserve">4. Product Architecture: the Seven Surfaces</w:t>
      </w:r>
    </w:p>
    <w:p>
      <w:pPr>
        <w:spacing w:after="140" w:line="276"/>
        <w:jc w:val="both"/>
      </w:pPr>
      <w:r>
        <w:rPr>
          <w:rFonts w:ascii="Calibri" w:cs="Calibri" w:eastAsia="Calibri" w:hAnsi="Calibri"/>
          <w:b w:val="false"/>
          <w:bCs w:val="false"/>
          <w:i w:val="false"/>
          <w:iCs w:val="false"/>
          <w:color w:val="222222"/>
          <w:sz w:val="22"/>
          <w:szCs w:val="22"/>
        </w:rPr>
        <w:t xml:space="preserve">Seven surfaces sit on one spine. The Core (surface one) is the data spine itself: the underwriting-grade invoice schema (line items, counterparties, IRN and CSID metadata, validation status, confirmation status, settlement status), the consent ledger implementing the three-layer architecture, the stamp-verification service that checks any invoice against the national system, and the immutable audit log. Nothing else exists without it, so it ships first and everything writes to it. The Advisory Toolkit (two) is the internal product that makes the services business scale: assessment templates, the VAT-risk check engine that audits a buyer's supplier file and outputs exposure plus a supplier graph, the living validation-error catalogue, and the public penalty calculator that feeds the funnel. The SME Compliance App (three) is the client-facing compliance product: guided invoicing, bulk import from Excel and existing packages, APP submission with automatic retry and plain-language failure resolution, the stamped-invoice vault, deadline and penalty alerts over WhatsApp, SMS and email, and reconciliation. The Accountant Console (four) is the white-label multi-client command centre: portfolio risk flags, onboarding pipeline, the unearned-income view of unconverted clients, firm branding, and the certification portal. Buyer Rails (five) is the buyer-side workflow: supplier verification for VAT protection, invoice confirmation, no-set-off acknowledgment capture, assignment-notice acceptance, and payment-status flags — the surface where compliance work quietly becomes credit infrastructure. The Credit Layer (six) activates at Act Three: the eligibility engine enforcing the mandatory-source rule, the fraud-signal suite, the scorecard co-designed with banks, the Bank Workbench for facility management, the collection-account data feed, and the origination-share ledger that pays the channel. Platform and Integrations (seven) carries the rest: dual APP adapters behind one interface, the own-APP rail when accreditation lands, ERP and point-of-sale connectors prioritized by what engagements reveal, bank-statement ingestion graduating to open-banking interfaces, and the security, residency and release machinery that regulatory fidelity demands.</w:t>
      </w:r>
    </w:p>
    <w:p>
      <w:pPr>
        <w:pStyle w:val="Heading1"/>
      </w:pPr>
      <w:r>
        <w:t xml:space="preserve">5. Now / Next / Later at a Glance</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60"/>
          <w:left w:type="dxa" w:w="110"/>
          <w:bottom w:type="dxa" w:w="60"/>
          <w:right w:type="dxa" w:w="110"/>
        </w:tblCellMar>
      </w:tblPr>
      <w:tblGrid>
        <w:gridCol w:w="1349"/>
        <w:gridCol w:w="2120"/>
        <w:gridCol w:w="3855"/>
        <w:gridCol w:w="2314"/>
      </w:tblGrid>
      <w:tr>
        <w:trPr>
          <w:tblHeader/>
        </w:trPr>
        <w:tc>
          <w:tcPr>
            <w:tcW w:type="dxa" w:w="1349"/>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Horizon</w:t>
            </w:r>
          </w:p>
        </w:tc>
        <w:tc>
          <w:tcPr>
            <w:tcW w:type="dxa" w:w="2120"/>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Release and window</w:t>
            </w:r>
          </w:p>
        </w:tc>
        <w:tc>
          <w:tcPr>
            <w:tcW w:type="dxa" w:w="3855"/>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Headline</w:t>
            </w:r>
          </w:p>
        </w:tc>
        <w:tc>
          <w:tcPr>
            <w:tcW w:type="dxa" w:w="2314"/>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Unlocking gate</w:t>
            </w:r>
          </w:p>
        </w:tc>
      </w:tr>
      <w:tr>
        <w:tc>
          <w:tcPr>
            <w:tcW w:type="dxa" w:w="1349"/>
            <w:vAlign w:val="center"/>
          </w:tcPr>
          <w:p>
            <w:pPr>
              <w:spacing w:after="40" w:before="40" w:line="252"/>
              <w:jc w:val="left"/>
            </w:pPr>
            <w:r>
              <w:rPr>
                <w:rFonts w:ascii="Calibri" w:cs="Calibri" w:eastAsia="Calibri" w:hAnsi="Calibri"/>
                <w:b/>
                <w:bCs/>
                <w:i w:val="false"/>
                <w:iCs w:val="false"/>
                <w:color w:val="222222"/>
                <w:sz w:val="19"/>
                <w:szCs w:val="19"/>
              </w:rPr>
              <w:t xml:space="preserve">NOW</w:t>
            </w:r>
          </w:p>
        </w:tc>
        <w:tc>
          <w:tcPr>
            <w:tcW w:type="dxa" w:w="2120"/>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R0 Field Kit (Jul-Oct 2026)</w:t>
            </w:r>
          </w:p>
        </w:tc>
        <w:tc>
          <w:tcPr>
            <w:tcW w:type="dxa" w:w="385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Tools, not a platform: everything the services playbook needs to be repeatable, plus the data spine capturing every engagement from day one.</w:t>
            </w:r>
          </w:p>
        </w:tc>
        <w:tc>
          <w:tcPr>
            <w:tcW w:type="dxa" w:w="2314"/>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None; funds itself. Maps to the P0 deliverables.</w:t>
            </w:r>
          </w:p>
        </w:tc>
      </w:tr>
      <w:tr>
        <w:tc>
          <w:tcPr>
            <w:tcW w:type="dxa" w:w="1349"/>
            <w:shd w:fill="F4F8F7" w:color="auto" w:val="clear"/>
            <w:vAlign w:val="center"/>
          </w:tcPr>
          <w:p>
            <w:pPr>
              <w:spacing w:after="40" w:before="40" w:line="252"/>
              <w:jc w:val="left"/>
            </w:pPr>
            <w:r>
              <w:rPr>
                <w:rFonts w:ascii="Calibri" w:cs="Calibri" w:eastAsia="Calibri" w:hAnsi="Calibri"/>
                <w:b/>
                <w:bCs/>
                <w:i w:val="false"/>
                <w:iCs w:val="false"/>
                <w:color w:val="222222"/>
                <w:sz w:val="19"/>
                <w:szCs w:val="19"/>
              </w:rPr>
              <w:t xml:space="preserve">NOW</w:t>
            </w:r>
          </w:p>
        </w:tc>
        <w:tc>
          <w:tcPr>
            <w:tcW w:type="dxa" w:w="2120"/>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R1 Compliance MVP (Q4 2026 - Q1 2027)</w:t>
            </w:r>
          </w:p>
        </w:tc>
        <w:tc>
          <w:tcPr>
            <w:tcW w:type="dxa" w:w="385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The SME app core and Accountant Console v1, built only for what pilots proved people pay for.</w:t>
            </w:r>
          </w:p>
        </w:tc>
        <w:tc>
          <w:tcPr>
            <w:tcW w:type="dxa" w:w="2314"/>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Platform gates: 3-5 firms actively selling, 100+ named prospects, 40%+ pilot willingness to pay. Actively selling is defined, not felt: logged client emails and calls, named prospects entered, proposals issued, and at least one paid end-client conversion per firm.</w:t>
            </w:r>
          </w:p>
        </w:tc>
      </w:tr>
      <w:tr>
        <w:tc>
          <w:tcPr>
            <w:tcW w:type="dxa" w:w="1349"/>
            <w:vAlign w:val="center"/>
          </w:tcPr>
          <w:p>
            <w:pPr>
              <w:spacing w:after="40" w:before="40" w:line="252"/>
              <w:jc w:val="left"/>
            </w:pPr>
            <w:r>
              <w:rPr>
                <w:rFonts w:ascii="Calibri" w:cs="Calibri" w:eastAsia="Calibri" w:hAnsi="Calibri"/>
                <w:b/>
                <w:bCs/>
                <w:i w:val="false"/>
                <w:iCs w:val="false"/>
                <w:color w:val="222222"/>
                <w:sz w:val="19"/>
                <w:szCs w:val="19"/>
              </w:rPr>
              <w:t xml:space="preserve">NEXT</w:t>
            </w:r>
          </w:p>
        </w:tc>
        <w:tc>
          <w:tcPr>
            <w:tcW w:type="dxa" w:w="2120"/>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R2 Channel Scale and Buyer Rails v1 (Q2-Q3 2027)</w:t>
            </w:r>
          </w:p>
        </w:tc>
        <w:tc>
          <w:tcPr>
            <w:tcW w:type="dxa" w:w="385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White-label at scale for the July 2027 small wave; the buyer confirmation workflow productized.</w:t>
            </w:r>
          </w:p>
        </w:tc>
        <w:tc>
          <w:tcPr>
            <w:tcW w:type="dxa" w:w="2314"/>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R1 retention and the small-wave calendar; buyer pilots from Deliverable 11.</w:t>
            </w:r>
          </w:p>
        </w:tc>
      </w:tr>
      <w:tr>
        <w:tc>
          <w:tcPr>
            <w:tcW w:type="dxa" w:w="1349"/>
            <w:shd w:fill="F4F8F7" w:color="auto" w:val="clear"/>
            <w:vAlign w:val="center"/>
          </w:tcPr>
          <w:p>
            <w:pPr>
              <w:spacing w:after="40" w:before="40" w:line="252"/>
              <w:jc w:val="left"/>
            </w:pPr>
            <w:r>
              <w:rPr>
                <w:rFonts w:ascii="Calibri" w:cs="Calibri" w:eastAsia="Calibri" w:hAnsi="Calibri"/>
                <w:b/>
                <w:bCs/>
                <w:i w:val="false"/>
                <w:iCs w:val="false"/>
                <w:color w:val="222222"/>
                <w:sz w:val="19"/>
                <w:szCs w:val="19"/>
              </w:rPr>
              <w:t xml:space="preserve">NEXT</w:t>
            </w:r>
          </w:p>
        </w:tc>
        <w:tc>
          <w:tcPr>
            <w:tcW w:type="dxa" w:w="2120"/>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R3 Credit Data Layer (H2 2027)</w:t>
            </w:r>
          </w:p>
        </w:tc>
        <w:tc>
          <w:tcPr>
            <w:tcW w:type="dxa" w:w="385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Fraud signals, eligibility engine and the bank-facing data room; no money moves yet.</w:t>
            </w:r>
          </w:p>
        </w:tc>
        <w:tc>
          <w:tcPr>
            <w:tcW w:type="dxa" w:w="2314"/>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300+ credit-observable businesses; conditional bank MOU (30 June 2027).</w:t>
            </w:r>
          </w:p>
        </w:tc>
      </w:tr>
      <w:tr>
        <w:tc>
          <w:tcPr>
            <w:tcW w:type="dxa" w:w="1349"/>
            <w:vAlign w:val="center"/>
          </w:tcPr>
          <w:p>
            <w:pPr>
              <w:spacing w:after="40" w:before="40" w:line="252"/>
              <w:jc w:val="left"/>
            </w:pPr>
            <w:r>
              <w:rPr>
                <w:rFonts w:ascii="Calibri" w:cs="Calibri" w:eastAsia="Calibri" w:hAnsi="Calibri"/>
                <w:b/>
                <w:bCs/>
                <w:i w:val="false"/>
                <w:iCs w:val="false"/>
                <w:color w:val="222222"/>
                <w:sz w:val="19"/>
                <w:szCs w:val="19"/>
              </w:rPr>
              <w:t xml:space="preserve">LATER</w:t>
            </w:r>
          </w:p>
        </w:tc>
        <w:tc>
          <w:tcPr>
            <w:tcW w:type="dxa" w:w="2120"/>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R4 Financing Pilot (Dec 2027 approval; live H1 2028)</w:t>
            </w:r>
          </w:p>
        </w:tc>
        <w:tc>
          <w:tcPr>
            <w:tcW w:type="dxa" w:w="385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Bank Workbench, early-payment flow, the legal-pack e-flow and loss dashboards for one small, clean facility.</w:t>
            </w:r>
          </w:p>
        </w:tc>
        <w:tc>
          <w:tcPr>
            <w:tcW w:type="dxa" w:w="2314"/>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Pilot-facility approval: counsel opinion, buyer-confirmation results, no-first-loss structure.</w:t>
            </w:r>
          </w:p>
        </w:tc>
      </w:tr>
      <w:tr>
        <w:tc>
          <w:tcPr>
            <w:tcW w:type="dxa" w:w="1349"/>
            <w:shd w:fill="F4F8F7" w:color="auto" w:val="clear"/>
            <w:vAlign w:val="center"/>
          </w:tcPr>
          <w:p>
            <w:pPr>
              <w:spacing w:after="40" w:before="40" w:line="252"/>
              <w:jc w:val="left"/>
            </w:pPr>
            <w:r>
              <w:rPr>
                <w:rFonts w:ascii="Calibri" w:cs="Calibri" w:eastAsia="Calibri" w:hAnsi="Calibri"/>
                <w:b/>
                <w:bCs/>
                <w:i w:val="false"/>
                <w:iCs w:val="false"/>
                <w:color w:val="222222"/>
                <w:sz w:val="19"/>
                <w:szCs w:val="19"/>
              </w:rPr>
              <w:t xml:space="preserve">LATER</w:t>
            </w:r>
          </w:p>
        </w:tc>
        <w:tc>
          <w:tcPr>
            <w:tcW w:type="dxa" w:w="2120"/>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R5 Scale and Hardening (2028+)</w:t>
            </w:r>
          </w:p>
        </w:tc>
        <w:tc>
          <w:tcPr>
            <w:tcW w:type="dxa" w:w="385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Second bank, own-APP rail live, open banking, dynamic discounting, multi-market abstraction.</w:t>
            </w:r>
          </w:p>
        </w:tc>
        <w:tc>
          <w:tcPr>
            <w:tcW w:type="dxa" w:w="2314"/>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Four consecutive quarters of loss rates within spec.</w:t>
            </w:r>
          </w:p>
        </w:tc>
      </w:tr>
    </w:tbl>
    <w:p>
      <w:pPr>
        <w:spacing w:after="120"/>
      </w:pPr>
    </w:p>
    <w:p>
      <w:pPr>
        <w:spacing w:after="140" w:line="276"/>
        <w:jc w:val="both"/>
      </w:pPr>
      <w:r>
        <w:rPr>
          <w:rFonts w:ascii="Calibri" w:cs="Calibri" w:eastAsia="Calibri" w:hAnsi="Calibri"/>
          <w:b w:val="false"/>
          <w:bCs w:val="false"/>
          <w:i w:val="false"/>
          <w:iCs w:val="false"/>
          <w:color w:val="222222"/>
          <w:sz w:val="22"/>
          <w:szCs w:val="22"/>
        </w:rPr>
        <w:t xml:space="preserve">The dependency direction never reverses: R0 funds R1, R1 recruits the channel that populates R2, R2 generates the confirmations that make R3 honest, R3 earns the facility that R4 operates, and R4's loss numbers are the only argument R5 needs. A release that tries to jump the queue is a release spending money the gates have not yet earned.</w:t>
      </w:r>
    </w:p>
    <w:p>
      <w:pPr>
        <w:pStyle w:val="Heading1"/>
      </w:pPr>
      <w:r>
        <w:t xml:space="preserve">6. Release Plan (R0 to R5)</w:t>
      </w:r>
    </w:p>
    <w:p>
      <w:pPr>
        <w:pStyle w:val="Heading2"/>
      </w:pPr>
      <w:r>
        <w:t xml:space="preserve">R0 — Field Kit (July to October 2026; no gate; funds itself)</w:t>
      </w:r>
    </w:p>
    <w:p>
      <w:pPr>
        <w:spacing w:after="140" w:line="276"/>
        <w:jc w:val="both"/>
      </w:pPr>
      <w:r>
        <w:rPr>
          <w:rFonts w:ascii="Calibri" w:cs="Calibri" w:eastAsia="Calibri" w:hAnsi="Calibri"/>
          <w:b w:val="false"/>
          <w:bCs w:val="false"/>
          <w:i w:val="false"/>
          <w:iCs w:val="false"/>
          <w:color w:val="222222"/>
          <w:sz w:val="22"/>
          <w:szCs w:val="22"/>
        </w:rPr>
        <w:t xml:space="preserve">Objective: make the services playbook repeatable and start the dataset on day one, without building a platform nobody has yet paid for. R0 is deliberately unglamorous; its user is the founding team.</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60"/>
          <w:left w:type="dxa" w:w="110"/>
          <w:bottom w:type="dxa" w:w="60"/>
          <w:right w:type="dxa" w:w="110"/>
        </w:tblCellMar>
      </w:tblPr>
      <w:tblGrid>
        <w:gridCol w:w="2891"/>
        <w:gridCol w:w="4819"/>
        <w:gridCol w:w="1928"/>
      </w:tblGrid>
      <w:tr>
        <w:trPr>
          <w:tblHeader/>
        </w:trPr>
        <w:tc>
          <w:tcPr>
            <w:tcW w:type="dxa" w:w="2891"/>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Item</w:t>
            </w:r>
          </w:p>
        </w:tc>
        <w:tc>
          <w:tcPr>
            <w:tcW w:type="dxa" w:w="4819"/>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What ships</w:t>
            </w:r>
          </w:p>
        </w:tc>
        <w:tc>
          <w:tcPr>
            <w:tcW w:type="dxa" w:w="1928"/>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Surface</w:t>
            </w:r>
          </w:p>
        </w:tc>
      </w:tr>
      <w:tr>
        <w:tc>
          <w:tcPr>
            <w:tcW w:type="dxa" w:w="289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Data spine v0</w:t>
            </w:r>
          </w:p>
        </w:tc>
        <w:tc>
          <w:tcPr>
            <w:tcW w:type="dxa" w:w="481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Underwriting-grade invoice schema in production; consent ledger implementing the three-layer architecture; every engagement's data captured with lineage from client one.</w:t>
            </w:r>
          </w:p>
        </w:tc>
        <w:tc>
          <w:tcPr>
            <w:tcW w:type="dxa" w:w="192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Core</w:t>
            </w:r>
          </w:p>
        </w:tc>
      </w:tr>
      <w:tr>
        <w:tc>
          <w:tcPr>
            <w:tcW w:type="dxa" w:w="289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Stamp verification service v0</w:t>
            </w:r>
          </w:p>
        </w:tc>
        <w:tc>
          <w:tcPr>
            <w:tcW w:type="dxa" w:w="481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Internal tool verifying any invoice's IRN and CSID against the national system via APP sandbox; the seed of every later trust feature.</w:t>
            </w:r>
          </w:p>
        </w:tc>
        <w:tc>
          <w:tcPr>
            <w:tcW w:type="dxa" w:w="192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Core</w:t>
            </w:r>
          </w:p>
        </w:tc>
      </w:tr>
      <w:tr>
        <w:tc>
          <w:tcPr>
            <w:tcW w:type="dxa" w:w="289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Readiness assessment kit</w:t>
            </w:r>
          </w:p>
        </w:tc>
        <w:tc>
          <w:tcPr>
            <w:tcW w:type="dxa" w:w="481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Templated systems audit, gap report and remediation plan; each engagement improves the template.</w:t>
            </w:r>
          </w:p>
        </w:tc>
        <w:tc>
          <w:tcPr>
            <w:tcW w:type="dxa" w:w="192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Advisory Toolkit</w:t>
            </w:r>
          </w:p>
        </w:tc>
      </w:tr>
      <w:tr>
        <w:tc>
          <w:tcPr>
            <w:tcW w:type="dxa" w:w="289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VAT-risk check engine v0</w:t>
            </w:r>
          </w:p>
        </w:tc>
        <w:tc>
          <w:tcPr>
            <w:tcW w:type="dxa" w:w="481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Buyer-side supplier-file audit: exposure quantified, non-compliant suppliers listed, buyer-supplier graph mapped. Spreadsheet-plus-scripts first, app later.</w:t>
            </w:r>
          </w:p>
        </w:tc>
        <w:tc>
          <w:tcPr>
            <w:tcW w:type="dxa" w:w="192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Advisory Toolkit</w:t>
            </w:r>
          </w:p>
        </w:tc>
      </w:tr>
      <w:tr>
        <w:tc>
          <w:tcPr>
            <w:tcW w:type="dxa" w:w="289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Validation-error catalogue</w:t>
            </w:r>
          </w:p>
        </w:tc>
        <w:tc>
          <w:tcPr>
            <w:tcW w:type="dxa" w:w="481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Living knowledge base of the twenty most frequent MBS validation and integration failures, with fixes; feeds Deliverable 4 and later becomes in-app help.</w:t>
            </w:r>
          </w:p>
        </w:tc>
        <w:tc>
          <w:tcPr>
            <w:tcW w:type="dxa" w:w="192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Advisory Toolkit</w:t>
            </w:r>
          </w:p>
        </w:tc>
      </w:tr>
      <w:tr>
        <w:tc>
          <w:tcPr>
            <w:tcW w:type="dxa" w:w="289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Public penalty calculator</w:t>
            </w:r>
          </w:p>
        </w:tc>
        <w:tc>
          <w:tcPr>
            <w:tcW w:type="dxa" w:w="481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Turnover in, s.103 and s.104 exposure out; deadline explainers per wave; the top of the funnel. Static by design and never connected to the application.</w:t>
            </w:r>
          </w:p>
        </w:tc>
        <w:tc>
          <w:tcPr>
            <w:tcW w:type="dxa" w:w="192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Advisory Toolkit</w:t>
            </w:r>
          </w:p>
        </w:tc>
      </w:tr>
      <w:tr>
        <w:tc>
          <w:tcPr>
            <w:tcW w:type="dxa" w:w="289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Sandbox harness</w:t>
            </w:r>
          </w:p>
        </w:tc>
        <w:tc>
          <w:tcPr>
            <w:tcW w:type="dxa" w:w="481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Repeatable test rig against APP rails; every playbook change proven here before touching a client.</w:t>
            </w:r>
          </w:p>
        </w:tc>
        <w:tc>
          <w:tcPr>
            <w:tcW w:type="dxa" w:w="192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Platform</w:t>
            </w:r>
          </w:p>
        </w:tc>
      </w:tr>
      <w:tr>
        <w:tc>
          <w:tcPr>
            <w:tcW w:type="dxa" w:w="289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Bank data-room skeleton</w:t>
            </w:r>
          </w:p>
        </w:tc>
        <w:tc>
          <w:tcPr>
            <w:tcW w:type="dxa" w:w="481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 schema extract and one sample anonymized memo built against the Appendix C specification; deliberately a document, not a product surface, until R3.</w:t>
            </w:r>
          </w:p>
        </w:tc>
        <w:tc>
          <w:tcPr>
            <w:tcW w:type="dxa" w:w="192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Credit Layer (dormant)</w:t>
            </w:r>
          </w:p>
        </w:tc>
      </w:tr>
    </w:tbl>
    <w:p>
      <w:pPr>
        <w:spacing w:after="120"/>
      </w:pPr>
    </w:p>
    <w:p>
      <w:pPr>
        <w:pStyle w:val="Heading3"/>
      </w:pPr>
      <w:r>
        <w:t xml:space="preserve">R0 capacity budget (the anti-platform guarantee)</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60"/>
          <w:left w:type="dxa" w:w="110"/>
          <w:bottom w:type="dxa" w:w="60"/>
          <w:right w:type="dxa" w:w="110"/>
        </w:tblCellMar>
      </w:tblPr>
      <w:tblGrid>
        <w:gridCol w:w="3855"/>
        <w:gridCol w:w="1735"/>
        <w:gridCol w:w="4048"/>
      </w:tblGrid>
      <w:tr>
        <w:trPr>
          <w:tblHeader/>
        </w:trPr>
        <w:tc>
          <w:tcPr>
            <w:tcW w:type="dxa" w:w="3855"/>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Item</w:t>
            </w:r>
          </w:p>
        </w:tc>
        <w:tc>
          <w:tcPr>
            <w:tcW w:type="dxa" w:w="1735"/>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Eng-weeks</w:t>
            </w:r>
          </w:p>
        </w:tc>
        <w:tc>
          <w:tcPr>
            <w:tcW w:type="dxa" w:w="4048"/>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Note</w:t>
            </w:r>
          </w:p>
        </w:tc>
      </w:tr>
      <w:tr>
        <w:tc>
          <w:tcPr>
            <w:tcW w:type="dxa" w:w="385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Data spine v0 + consent ledger</w:t>
            </w:r>
          </w:p>
        </w:tc>
        <w:tc>
          <w:tcPr>
            <w:tcW w:type="dxa" w:w="173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6</w:t>
            </w:r>
          </w:p>
        </w:tc>
        <w:tc>
          <w:tcPr>
            <w:tcW w:type="dxa" w:w="404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The one piece worth over-investing in; everything writes here.</w:t>
            </w:r>
          </w:p>
        </w:tc>
      </w:tr>
      <w:tr>
        <w:tc>
          <w:tcPr>
            <w:tcW w:type="dxa" w:w="385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Stamp verification service v0</w:t>
            </w:r>
          </w:p>
        </w:tc>
        <w:tc>
          <w:tcPr>
            <w:tcW w:type="dxa" w:w="173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3</w:t>
            </w:r>
          </w:p>
        </w:tc>
        <w:tc>
          <w:tcPr>
            <w:tcW w:type="dxa" w:w="404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Internal-only until stable.</w:t>
            </w:r>
          </w:p>
        </w:tc>
      </w:tr>
      <w:tr>
        <w:tc>
          <w:tcPr>
            <w:tcW w:type="dxa" w:w="385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Sandbox harness</w:t>
            </w:r>
          </w:p>
        </w:tc>
        <w:tc>
          <w:tcPr>
            <w:tcW w:type="dxa" w:w="173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3</w:t>
            </w:r>
          </w:p>
        </w:tc>
        <w:tc>
          <w:tcPr>
            <w:tcW w:type="dxa" w:w="404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The quality centrepiece; pays for itself on the first MBS change.</w:t>
            </w:r>
          </w:p>
        </w:tc>
      </w:tr>
      <w:tr>
        <w:tc>
          <w:tcPr>
            <w:tcW w:type="dxa" w:w="385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VAT-risk check engine v0</w:t>
            </w:r>
          </w:p>
        </w:tc>
        <w:tc>
          <w:tcPr>
            <w:tcW w:type="dxa" w:w="173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3</w:t>
            </w:r>
          </w:p>
        </w:tc>
        <w:tc>
          <w:tcPr>
            <w:tcW w:type="dxa" w:w="404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Spreadsheet-plus-scripts; resist the urge to build UI.</w:t>
            </w:r>
          </w:p>
        </w:tc>
      </w:tr>
      <w:tr>
        <w:tc>
          <w:tcPr>
            <w:tcW w:type="dxa" w:w="385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Penalty calculator (public, static)</w:t>
            </w:r>
          </w:p>
        </w:tc>
        <w:tc>
          <w:tcPr>
            <w:tcW w:type="dxa" w:w="173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2</w:t>
            </w:r>
          </w:p>
        </w:tc>
        <w:tc>
          <w:tcPr>
            <w:tcW w:type="dxa" w:w="404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Never wired to the application.</w:t>
            </w:r>
          </w:p>
        </w:tc>
      </w:tr>
      <w:tr>
        <w:tc>
          <w:tcPr>
            <w:tcW w:type="dxa" w:w="385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Error catalogue + assessment kit tooling</w:t>
            </w:r>
          </w:p>
        </w:tc>
        <w:tc>
          <w:tcPr>
            <w:tcW w:type="dxa" w:w="173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2</w:t>
            </w:r>
          </w:p>
        </w:tc>
        <w:tc>
          <w:tcPr>
            <w:tcW w:type="dxa" w:w="404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Templates and a knowledge base, not software.</w:t>
            </w:r>
          </w:p>
        </w:tc>
      </w:tr>
      <w:tr>
        <w:tc>
          <w:tcPr>
            <w:tcW w:type="dxa" w:w="385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Data-room skeleton + consent/MSA integration</w:t>
            </w:r>
          </w:p>
        </w:tc>
        <w:tc>
          <w:tcPr>
            <w:tcW w:type="dxa" w:w="173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3</w:t>
            </w:r>
          </w:p>
        </w:tc>
        <w:tc>
          <w:tcPr>
            <w:tcW w:type="dxa" w:w="404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Schema extract, sample memo, contract plumbing.</w:t>
            </w:r>
          </w:p>
        </w:tc>
      </w:tr>
      <w:tr>
        <w:tc>
          <w:tcPr>
            <w:tcW w:type="dxa" w:w="385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Buffer (rail surprises, pilot requests)</w:t>
            </w:r>
          </w:p>
        </w:tc>
        <w:tc>
          <w:tcPr>
            <w:tcW w:type="dxa" w:w="173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4</w:t>
            </w:r>
          </w:p>
        </w:tc>
        <w:tc>
          <w:tcPr>
            <w:tcW w:type="dxa" w:w="404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Spent on evidence, never on polish.</w:t>
            </w:r>
          </w:p>
        </w:tc>
      </w:tr>
      <w:tr>
        <w:tc>
          <w:tcPr>
            <w:tcW w:type="dxa" w:w="3855"/>
            <w:vAlign w:val="center"/>
          </w:tcPr>
          <w:p>
            <w:pPr>
              <w:spacing w:after="40" w:before="40" w:line="252"/>
              <w:jc w:val="left"/>
            </w:pPr>
            <w:r>
              <w:rPr>
                <w:rFonts w:ascii="Calibri" w:cs="Calibri" w:eastAsia="Calibri" w:hAnsi="Calibri"/>
                <w:b/>
                <w:bCs/>
                <w:i w:val="false"/>
                <w:iCs w:val="false"/>
                <w:color w:val="222222"/>
                <w:sz w:val="19"/>
                <w:szCs w:val="19"/>
              </w:rPr>
              <w:t xml:space="preserve">Total</w:t>
            </w:r>
          </w:p>
        </w:tc>
        <w:tc>
          <w:tcPr>
            <w:tcW w:type="dxa" w:w="1735"/>
            <w:vAlign w:val="center"/>
          </w:tcPr>
          <w:p>
            <w:pPr>
              <w:spacing w:after="40" w:before="40" w:line="252"/>
              <w:jc w:val="left"/>
            </w:pPr>
            <w:r>
              <w:rPr>
                <w:rFonts w:ascii="Calibri" w:cs="Calibri" w:eastAsia="Calibri" w:hAnsi="Calibri"/>
                <w:b/>
                <w:bCs/>
                <w:i w:val="false"/>
                <w:iCs w:val="false"/>
                <w:color w:val="222222"/>
                <w:sz w:val="19"/>
                <w:szCs w:val="19"/>
              </w:rPr>
              <w:t xml:space="preserve">26</w:t>
            </w:r>
          </w:p>
        </w:tc>
        <w:tc>
          <w:tcPr>
            <w:tcW w:type="dxa" w:w="404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Two engineers, one quarter. The financial model's FY1 cash trough of roughly NGN 2 million makes a hidden platform build not merely unwise but arithmetically impossible.</w:t>
            </w:r>
          </w:p>
        </w:tc>
      </w:tr>
    </w:tbl>
    <w:p>
      <w:pPr>
        <w:spacing w:after="120"/>
      </w:pPr>
    </w:p>
    <w:p>
      <w:pPr>
        <w:spacing w:after="140" w:line="276"/>
        <w:jc w:val="both"/>
      </w:pPr>
      <w:r>
        <w:rPr>
          <w:rFonts w:ascii="Calibri" w:cs="Calibri" w:eastAsia="Calibri" w:hAnsi="Calibri"/>
          <w:b/>
          <w:bCs/>
          <w:i w:val="false"/>
          <w:iCs w:val="false"/>
          <w:color w:val="222222"/>
          <w:sz w:val="22"/>
          <w:szCs w:val="22"/>
        </w:rPr>
        <w:t xml:space="preserve">Exit criteria: </w:t>
      </w:r>
      <w:r>
        <w:rPr>
          <w:rFonts w:ascii="Calibri" w:cs="Calibri" w:eastAsia="Calibri" w:hAnsi="Calibri"/>
          <w:b w:val="false"/>
          <w:bCs w:val="false"/>
          <w:i w:val="false"/>
          <w:iCs w:val="false"/>
          <w:color w:val="222222"/>
          <w:sz w:val="22"/>
          <w:szCs w:val="22"/>
        </w:rPr>
        <w:t xml:space="preserve">the P0 deliverables of Plan Section 15 pass. Explicit non-goals: no self-serve signup, no billing system, no mobile apps, no credit features beyond the dormant data-room format. If R0 tooling cannot make ten assessments and five VAT-risk checks profitable, R1 has no right to exist.</w:t>
      </w:r>
    </w:p>
    <w:p>
      <w:pPr>
        <w:pStyle w:val="Heading2"/>
      </w:pPr>
      <w:r>
        <w:t xml:space="preserve">R1 — Compliance MVP (Q4 2026 to Q1 2027; unlocks on the platform gates)</w:t>
      </w:r>
    </w:p>
    <w:p>
      <w:pPr>
        <w:spacing w:after="140" w:line="276"/>
        <w:jc w:val="both"/>
      </w:pPr>
      <w:r>
        <w:rPr>
          <w:rFonts w:ascii="Calibri" w:cs="Calibri" w:eastAsia="Calibri" w:hAnsi="Calibri"/>
          <w:b w:val="false"/>
          <w:bCs w:val="false"/>
          <w:i w:val="false"/>
          <w:iCs w:val="false"/>
          <w:color w:val="222222"/>
          <w:sz w:val="22"/>
          <w:szCs w:val="22"/>
        </w:rPr>
        <w:t xml:space="preserve">Objective: convert the proven service into software for the two paying personas, scoped ruthlessly to what pilot firms actually asked for. R1 is the release most at risk of scope creep, so its non-goals matter as much as its features. Version 1.1 trims it to a true MVP on the build review’s cut list: one happy path per job, one template per import, exports before automation.</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60"/>
          <w:left w:type="dxa" w:w="110"/>
          <w:bottom w:type="dxa" w:w="60"/>
          <w:right w:type="dxa" w:w="110"/>
        </w:tblCellMar>
      </w:tblPr>
      <w:tblGrid>
        <w:gridCol w:w="2891"/>
        <w:gridCol w:w="4819"/>
        <w:gridCol w:w="1928"/>
      </w:tblGrid>
      <w:tr>
        <w:trPr>
          <w:tblHeader/>
        </w:trPr>
        <w:tc>
          <w:tcPr>
            <w:tcW w:type="dxa" w:w="2891"/>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Item</w:t>
            </w:r>
          </w:p>
        </w:tc>
        <w:tc>
          <w:tcPr>
            <w:tcW w:type="dxa" w:w="4819"/>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What ships</w:t>
            </w:r>
          </w:p>
        </w:tc>
        <w:tc>
          <w:tcPr>
            <w:tcW w:type="dxa" w:w="1928"/>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Surface</w:t>
            </w:r>
          </w:p>
        </w:tc>
      </w:tr>
      <w:tr>
        <w:tc>
          <w:tcPr>
            <w:tcW w:type="dxa" w:w="289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Guided invoicing and bulk import</w:t>
            </w:r>
          </w:p>
        </w:tc>
        <w:tc>
          <w:tcPr>
            <w:tcW w:type="dxa" w:w="481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One guided happy-path invoice flow plus one published Excel/CSV template; package-specific import mappers are deferred until pilots surface which packages matter; validation before submission so failures are caught client-side.</w:t>
            </w:r>
          </w:p>
        </w:tc>
        <w:tc>
          <w:tcPr>
            <w:tcW w:type="dxa" w:w="192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SME App</w:t>
            </w:r>
          </w:p>
        </w:tc>
      </w:tr>
      <w:tr>
        <w:tc>
          <w:tcPr>
            <w:tcW w:type="dxa" w:w="289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Submission and vault</w:t>
            </w:r>
          </w:p>
        </w:tc>
        <w:tc>
          <w:tcPr>
            <w:tcW w:type="dxa" w:w="481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Dual-APP transmission with automatic retry; plain-language resolution drawn from the error catalogue; stamped-invoice vault with IRN, CSID and QR retained against audit.</w:t>
            </w:r>
          </w:p>
        </w:tc>
        <w:tc>
          <w:tcPr>
            <w:tcW w:type="dxa" w:w="192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SME App</w:t>
            </w:r>
          </w:p>
        </w:tc>
      </w:tr>
      <w:tr>
        <w:tc>
          <w:tcPr>
            <w:tcW w:type="dxa" w:w="289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Deadline and penalty alerts</w:t>
            </w:r>
          </w:p>
        </w:tc>
        <w:tc>
          <w:tcPr>
            <w:tcW w:type="dxa" w:w="481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Email and WhatsApp at launch, with SMS reserved as critical fallback behind the same abstraction; per-entity compliance calendar; the alert channel is the product for many small clients. Alerts are pointers only, never data: no amounts, names or documents ever travel in a message (TRD SEC-12).</w:t>
            </w:r>
          </w:p>
        </w:tc>
        <w:tc>
          <w:tcPr>
            <w:tcW w:type="dxa" w:w="192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SME App</w:t>
            </w:r>
          </w:p>
        </w:tc>
      </w:tr>
      <w:tr>
        <w:tc>
          <w:tcPr>
            <w:tcW w:type="dxa" w:w="289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Accountant Console v1</w:t>
            </w:r>
          </w:p>
        </w:tc>
        <w:tc>
          <w:tcPr>
            <w:tcW w:type="dxa" w:w="481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Multi-client dashboard with penalty-risk flags; onboarding pipeline; the unearned-income view of unconverted clients; firm-level user roles. Visual polish and deep theming deferred to R2.</w:t>
            </w:r>
          </w:p>
        </w:tc>
        <w:tc>
          <w:tcPr>
            <w:tcW w:type="dxa" w:w="192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Console</w:t>
            </w:r>
          </w:p>
        </w:tc>
      </w:tr>
      <w:tr>
        <w:tc>
          <w:tcPr>
            <w:tcW w:type="dxa" w:w="289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Compliance Desk operator tooling</w:t>
            </w:r>
          </w:p>
        </w:tc>
        <w:tc>
          <w:tcPr>
            <w:tcW w:type="dxa" w:w="481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Queue, playbook prompts and one-click resolutions so one operator runs many Desk clients; the margin of the managed tier lives here. Queue and playbook prompts ship first; heavy automation waits for real operator-time data.</w:t>
            </w:r>
          </w:p>
        </w:tc>
        <w:tc>
          <w:tcPr>
            <w:tcW w:type="dxa" w:w="192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Operator</w:t>
            </w:r>
          </w:p>
        </w:tc>
      </w:tr>
      <w:tr>
        <w:tc>
          <w:tcPr>
            <w:tcW w:type="dxa" w:w="289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Consent flows v1</w:t>
            </w:r>
          </w:p>
        </w:tc>
        <w:tc>
          <w:tcPr>
            <w:tcW w:type="dxa" w:w="481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Layer-one and layer-two consent embedded in onboarding; layer-three (credit-readiness) present but dormant, packaged as a future benefit.</w:t>
            </w:r>
          </w:p>
        </w:tc>
        <w:tc>
          <w:tcPr>
            <w:tcW w:type="dxa" w:w="192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Core</w:t>
            </w:r>
          </w:p>
        </w:tc>
      </w:tr>
      <w:tr>
        <w:tc>
          <w:tcPr>
            <w:tcW w:type="dxa" w:w="289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Billing and tiering</w:t>
            </w:r>
          </w:p>
        </w:tc>
        <w:tc>
          <w:tcPr>
            <w:tcW w:type="dxa" w:w="481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Essential, Compliance Desk, Professional and Enterprise-lite tiers live; firm revenue-share statements begin life as a monthly export and are automated only once the format survives three real months.</w:t>
            </w:r>
          </w:p>
        </w:tc>
        <w:tc>
          <w:tcPr>
            <w:tcW w:type="dxa" w:w="192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Platform</w:t>
            </w:r>
          </w:p>
        </w:tc>
      </w:tr>
    </w:tbl>
    <w:p>
      <w:pPr>
        <w:spacing w:after="120"/>
      </w:pPr>
    </w:p>
    <w:p>
      <w:pPr>
        <w:spacing w:after="140" w:line="276"/>
        <w:jc w:val="both"/>
      </w:pPr>
      <w:r>
        <w:rPr>
          <w:rFonts w:ascii="Calibri" w:cs="Calibri" w:eastAsia="Calibri" w:hAnsi="Calibri"/>
          <w:b/>
          <w:bCs/>
          <w:i w:val="false"/>
          <w:iCs w:val="false"/>
          <w:color w:val="222222"/>
          <w:sz w:val="22"/>
          <w:szCs w:val="22"/>
        </w:rPr>
        <w:t xml:space="preserve">Exit criteria: </w:t>
      </w:r>
      <w:r>
        <w:rPr>
          <w:rFonts w:ascii="Calibri" w:cs="Calibri" w:eastAsia="Calibri" w:hAnsi="Calibri"/>
          <w:b w:val="false"/>
          <w:bCs w:val="false"/>
          <w:i w:val="false"/>
          <w:iCs w:val="false"/>
          <w:color w:val="222222"/>
          <w:sz w:val="22"/>
          <w:szCs w:val="22"/>
        </w:rPr>
        <w:t xml:space="preserve">150+ channel-sourced subscriptions; monthly gross churn under 2 percent; median time from signup to first stamped invoice under 48 hours; 80 percent of validation failures resolved without human escalation. Non-goals: no ERP connectors yet (imports suffice), no package-specific importers, no SMS-first flows, no revenue-share automation, no Buyer Rails product (the VAT-risk service continues manually), no native mobile apps (responsive web plus WhatsApp), nothing credit.</w:t>
      </w:r>
    </w:p>
    <w:p>
      <w:pPr>
        <w:pStyle w:val="Heading2"/>
      </w:pPr>
      <w:r>
        <w:t xml:space="preserve">R2 — Channel Scale and Buyer Rails v1 (Q2 to Q3 2027; the small-wave release)</w:t>
      </w:r>
    </w:p>
    <w:p>
      <w:pPr>
        <w:spacing w:after="140" w:line="276"/>
        <w:jc w:val="both"/>
      </w:pPr>
      <w:r>
        <w:rPr>
          <w:rFonts w:ascii="Calibri" w:cs="Calibri" w:eastAsia="Calibri" w:hAnsi="Calibri"/>
          <w:b w:val="false"/>
          <w:bCs w:val="false"/>
          <w:i w:val="false"/>
          <w:iCs w:val="false"/>
          <w:color w:val="222222"/>
          <w:sz w:val="22"/>
          <w:szCs w:val="22"/>
        </w:rPr>
        <w:t xml:space="preserve">Objective: be ready for the July 2027 wave with a channel that can onboard at volume, and productize the buyer-side workflow that Deliverable 11 piloted manually — the release where compliance work starts assembling credit rails. Version 1.1 adds the review’s governing rule: R2 is dominated by two questions, can accountants onboard clients at volume and will buyers confirm invoices inside the workflow, and every other item fights for its place against those two.</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60"/>
          <w:left w:type="dxa" w:w="110"/>
          <w:bottom w:type="dxa" w:w="60"/>
          <w:right w:type="dxa" w:w="110"/>
        </w:tblCellMar>
      </w:tblPr>
      <w:tblGrid>
        <w:gridCol w:w="2891"/>
        <w:gridCol w:w="4819"/>
        <w:gridCol w:w="1928"/>
      </w:tblGrid>
      <w:tr>
        <w:trPr>
          <w:tblHeader/>
        </w:trPr>
        <w:tc>
          <w:tcPr>
            <w:tcW w:type="dxa" w:w="2891"/>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Item</w:t>
            </w:r>
          </w:p>
        </w:tc>
        <w:tc>
          <w:tcPr>
            <w:tcW w:type="dxa" w:w="4819"/>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What ships</w:t>
            </w:r>
          </w:p>
        </w:tc>
        <w:tc>
          <w:tcPr>
            <w:tcW w:type="dxa" w:w="1928"/>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Surface</w:t>
            </w:r>
          </w:p>
        </w:tc>
      </w:tr>
      <w:tr>
        <w:tc>
          <w:tcPr>
            <w:tcW w:type="dxa" w:w="289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White-label at scale</w:t>
            </w:r>
          </w:p>
        </w:tc>
        <w:tc>
          <w:tcPr>
            <w:tcW w:type="dxa" w:w="481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Firm theming, subdomains, bulk client import from practice-management exports; certification portal with CPD content.</w:t>
            </w:r>
          </w:p>
        </w:tc>
        <w:tc>
          <w:tcPr>
            <w:tcW w:type="dxa" w:w="192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Console</w:t>
            </w:r>
          </w:p>
        </w:tc>
      </w:tr>
      <w:tr>
        <w:tc>
          <w:tcPr>
            <w:tcW w:type="dxa" w:w="289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Buyer Rails v1</w:t>
            </w:r>
          </w:p>
        </w:tc>
        <w:tc>
          <w:tcPr>
            <w:tcW w:type="dxa" w:w="481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Supplier verification for VAT protection; invoice confirmation workflow; no-set-off acknowledgment capture; payment-status flags; supplier compliance scoreboard for the buyer.</w:t>
            </w:r>
          </w:p>
        </w:tc>
        <w:tc>
          <w:tcPr>
            <w:tcW w:type="dxa" w:w="192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Buyer Rails</w:t>
            </w:r>
          </w:p>
        </w:tc>
      </w:tr>
      <w:tr>
        <w:tc>
          <w:tcPr>
            <w:tcW w:type="dxa" w:w="289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Reconciliation v1</w:t>
            </w:r>
          </w:p>
        </w:tc>
        <w:tc>
          <w:tcPr>
            <w:tcW w:type="dxa" w:w="481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Bank-statement upload matched to stamped invoices; three-way view of reported, booked and banked; the first settlement-behaviour source feeding the spine.</w:t>
            </w:r>
          </w:p>
        </w:tc>
        <w:tc>
          <w:tcPr>
            <w:tcW w:type="dxa" w:w="192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SME App</w:t>
            </w:r>
          </w:p>
        </w:tc>
      </w:tr>
      <w:tr>
        <w:tc>
          <w:tcPr>
            <w:tcW w:type="dxa" w:w="289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ERP connectors one and two</w:t>
            </w:r>
          </w:p>
        </w:tc>
        <w:tc>
          <w:tcPr>
            <w:tcW w:type="dxa" w:w="481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The two systems Phase-one engagements met most often; connector priorities are an output of R0, not an assumption.</w:t>
            </w:r>
          </w:p>
        </w:tc>
        <w:tc>
          <w:tcPr>
            <w:tcW w:type="dxa" w:w="192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Platform</w:t>
            </w:r>
          </w:p>
        </w:tc>
      </w:tr>
      <w:tr>
        <w:tc>
          <w:tcPr>
            <w:tcW w:type="dxa" w:w="289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B2C reporting module</w:t>
            </w:r>
          </w:p>
        </w:tc>
        <w:tc>
          <w:tcPr>
            <w:tcW w:type="dxa" w:w="481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Evidence-gated: the statutory 24-hour obligation above NGN 50,000 (with a NGN 50,000-per-day late penalty) cannot be dropped, so the module is built when a threshold of retail-adjacent clients is actually signed rather than on the calendar.</w:t>
            </w:r>
          </w:p>
        </w:tc>
        <w:tc>
          <w:tcPr>
            <w:tcW w:type="dxa" w:w="192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SME App</w:t>
            </w:r>
          </w:p>
        </w:tc>
      </w:tr>
      <w:tr>
        <w:tc>
          <w:tcPr>
            <w:tcW w:type="dxa" w:w="289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AI failure explainer (candidate)</w:t>
            </w:r>
          </w:p>
        </w:tc>
        <w:tc>
          <w:tcPr>
            <w:tcW w:type="dxa" w:w="481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Plain-language, Nigerian-English explanation of any MBS rejection with the fix, trained on the error catalogue; ships only if support load justifies it.</w:t>
            </w:r>
          </w:p>
        </w:tc>
        <w:tc>
          <w:tcPr>
            <w:tcW w:type="dxa" w:w="192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SME App</w:t>
            </w:r>
          </w:p>
        </w:tc>
      </w:tr>
    </w:tbl>
    <w:p>
      <w:pPr>
        <w:spacing w:after="120"/>
      </w:pPr>
    </w:p>
    <w:p>
      <w:pPr>
        <w:spacing w:after="140" w:line="276"/>
        <w:jc w:val="both"/>
      </w:pPr>
      <w:r>
        <w:rPr>
          <w:rFonts w:ascii="Calibri" w:cs="Calibri" w:eastAsia="Calibri" w:hAnsi="Calibri"/>
          <w:b/>
          <w:bCs/>
          <w:i w:val="false"/>
          <w:iCs w:val="false"/>
          <w:color w:val="222222"/>
          <w:sz w:val="22"/>
          <w:szCs w:val="22"/>
        </w:rPr>
        <w:t xml:space="preserve">Exit criteria: </w:t>
      </w:r>
      <w:r>
        <w:rPr>
          <w:rFonts w:ascii="Calibri" w:cs="Calibri" w:eastAsia="Calibri" w:hAnsi="Calibri"/>
          <w:b w:val="false"/>
          <w:bCs w:val="false"/>
          <w:i w:val="false"/>
          <w:iCs w:val="false"/>
          <w:color w:val="222222"/>
          <w:sz w:val="22"/>
          <w:szCs w:val="22"/>
        </w:rPr>
        <w:t xml:space="preserve">300+ subscribed businesses by the small-wave go-live and 500 to 700 entering the January 2028 enforcement date; three or more anchor buyers live on Buyer Rails; 50+ confirmed invoices flowing monthly; the credit-observable count tracking to 300 by year-end. Non-goals: no financing features visible to any user; no dynamic discounting; no second-market work.</w:t>
      </w:r>
    </w:p>
    <w:p>
      <w:pPr>
        <w:pStyle w:val="Heading2"/>
      </w:pPr>
      <w:r>
        <w:t xml:space="preserve">R3 — Credit Data Layer (H2 2027; unlocks on 300+ credit-observable and the conditional bank MOU)</w:t>
      </w:r>
    </w:p>
    <w:p>
      <w:pPr>
        <w:spacing w:after="140" w:line="276"/>
        <w:jc w:val="both"/>
      </w:pPr>
      <w:r>
        <w:rPr>
          <w:rFonts w:ascii="Calibri" w:cs="Calibri" w:eastAsia="Calibri" w:hAnsi="Calibri"/>
          <w:b w:val="false"/>
          <w:bCs w:val="false"/>
          <w:i w:val="false"/>
          <w:iCs w:val="false"/>
          <w:color w:val="222222"/>
          <w:sz w:val="22"/>
          <w:szCs w:val="22"/>
        </w:rPr>
        <w:t xml:space="preserve">Objective: turn the accumulated corpus into bank-grade evidence without moving a naira. R3 is invisible to SMEs and accountants; its users are the risk function and the design-partner banks.</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60"/>
          <w:left w:type="dxa" w:w="110"/>
          <w:bottom w:type="dxa" w:w="60"/>
          <w:right w:type="dxa" w:w="110"/>
        </w:tblCellMar>
      </w:tblPr>
      <w:tblGrid>
        <w:gridCol w:w="2891"/>
        <w:gridCol w:w="4819"/>
        <w:gridCol w:w="1928"/>
      </w:tblGrid>
      <w:tr>
        <w:trPr>
          <w:tblHeader/>
        </w:trPr>
        <w:tc>
          <w:tcPr>
            <w:tcW w:type="dxa" w:w="2891"/>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Item</w:t>
            </w:r>
          </w:p>
        </w:tc>
        <w:tc>
          <w:tcPr>
            <w:tcW w:type="dxa" w:w="4819"/>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What ships</w:t>
            </w:r>
          </w:p>
        </w:tc>
        <w:tc>
          <w:tcPr>
            <w:tcW w:type="dxa" w:w="1928"/>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Surface</w:t>
            </w:r>
          </w:p>
        </w:tc>
      </w:tr>
      <w:tr>
        <w:tc>
          <w:tcPr>
            <w:tcW w:type="dxa" w:w="289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Fraud-signal suite</w:t>
            </w:r>
          </w:p>
        </w:tc>
        <w:tc>
          <w:tcPr>
            <w:tcW w:type="dxa" w:w="481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Rules first, models later: conservative eligibility rules, related-party and circular-invoicing graph checks (structural, so back-testable without labels), volume-anomaly flags, concentration limits and mandatory manual review with bank-agreed exclusions. Statistical performance reporting is deferred until enough confirmed outcomes exist to measure against.</w:t>
            </w:r>
          </w:p>
        </w:tc>
        <w:tc>
          <w:tcPr>
            <w:tcW w:type="dxa" w:w="192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Credit Layer</w:t>
            </w:r>
          </w:p>
        </w:tc>
      </w:tr>
      <w:tr>
        <w:tc>
          <w:tcPr>
            <w:tcW w:type="dxa" w:w="289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Eligibility engine</w:t>
            </w:r>
          </w:p>
        </w:tc>
        <w:tc>
          <w:tcPr>
            <w:tcW w:type="dxa" w:w="481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The mandatory-source rule as code: stamped, buyer-confirmed, settlement-observable or collection-account-routed, inside concentration and buyer-tier limits.</w:t>
            </w:r>
          </w:p>
        </w:tc>
        <w:tc>
          <w:tcPr>
            <w:tcW w:type="dxa" w:w="192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Credit Layer</w:t>
            </w:r>
          </w:p>
        </w:tc>
      </w:tr>
      <w:tr>
        <w:tc>
          <w:tcPr>
            <w:tcW w:type="dxa" w:w="289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Scorecard v0</w:t>
            </w:r>
          </w:p>
        </w:tc>
        <w:tc>
          <w:tcPr>
            <w:tcW w:type="dxa" w:w="481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Co-designed against the Appendix C specification with design-partner feedback; every field traceable to spine data.</w:t>
            </w:r>
          </w:p>
        </w:tc>
        <w:tc>
          <w:tcPr>
            <w:tcW w:type="dxa" w:w="192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Credit Layer</w:t>
            </w:r>
          </w:p>
        </w:tc>
      </w:tr>
      <w:tr>
        <w:tc>
          <w:tcPr>
            <w:tcW w:type="dxa" w:w="289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Bank data room</w:t>
            </w:r>
          </w:p>
        </w:tc>
        <w:tc>
          <w:tcPr>
            <w:tcW w:type="dxa" w:w="481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Anonymized portfolio views, cohort performance, confirmation and settlement statistics; the artifact the December 2027 approval decision reads.</w:t>
            </w:r>
          </w:p>
        </w:tc>
        <w:tc>
          <w:tcPr>
            <w:tcW w:type="dxa" w:w="192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Credit Layer</w:t>
            </w:r>
          </w:p>
        </w:tc>
      </w:tr>
      <w:tr>
        <w:tc>
          <w:tcPr>
            <w:tcW w:type="dxa" w:w="289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Collection-account ingestion spec</w:t>
            </w:r>
          </w:p>
        </w:tc>
        <w:tc>
          <w:tcPr>
            <w:tcW w:type="dxa" w:w="481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The data contract for the bank-owned account feed, agreed with the design partner before the pilot needs it.</w:t>
            </w:r>
          </w:p>
        </w:tc>
        <w:tc>
          <w:tcPr>
            <w:tcW w:type="dxa" w:w="192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Platform</w:t>
            </w:r>
          </w:p>
        </w:tc>
      </w:tr>
    </w:tbl>
    <w:p>
      <w:pPr>
        <w:spacing w:after="120"/>
      </w:pPr>
    </w:p>
    <w:p>
      <w:pPr>
        <w:spacing w:after="140" w:line="276"/>
        <w:jc w:val="both"/>
      </w:pPr>
      <w:r>
        <w:rPr>
          <w:rFonts w:ascii="Calibri" w:cs="Calibri" w:eastAsia="Calibri" w:hAnsi="Calibri"/>
          <w:b/>
          <w:bCs/>
          <w:i w:val="false"/>
          <w:iCs w:val="false"/>
          <w:color w:val="222222"/>
          <w:sz w:val="22"/>
          <w:szCs w:val="22"/>
        </w:rPr>
        <w:t xml:space="preserve">Exit criteria: </w:t>
      </w:r>
      <w:r>
        <w:rPr>
          <w:rFonts w:ascii="Calibri" w:cs="Calibri" w:eastAsia="Calibri" w:hAnsi="Calibri"/>
          <w:b w:val="false"/>
          <w:bCs w:val="false"/>
          <w:i w:val="false"/>
          <w:iCs w:val="false"/>
          <w:color w:val="222222"/>
          <w:sz w:val="22"/>
          <w:szCs w:val="22"/>
        </w:rPr>
        <w:t xml:space="preserve">fraud tooling back-tested with agreed thresholds; the December 2027 pilot approval obtained on the plan's conditions. Non-goals: no user-facing financing offers, no pricing display, no origination flows — nothing a supplier can click yet.</w:t>
      </w:r>
    </w:p>
    <w:p>
      <w:pPr>
        <w:pStyle w:val="Heading2"/>
      </w:pPr>
      <w:r>
        <w:t xml:space="preserve">R4 — Financing Pilot (approval December 2027; live H1 2028)</w:t>
      </w:r>
    </w:p>
    <w:p>
      <w:pPr>
        <w:spacing w:after="140" w:line="276"/>
        <w:jc w:val="both"/>
      </w:pPr>
      <w:r>
        <w:rPr>
          <w:rFonts w:ascii="Calibri" w:cs="Calibri" w:eastAsia="Calibri" w:hAnsi="Calibri"/>
          <w:b w:val="false"/>
          <w:bCs w:val="false"/>
          <w:i w:val="false"/>
          <w:iCs w:val="false"/>
          <w:color w:val="222222"/>
          <w:sz w:val="22"/>
          <w:szCs w:val="22"/>
        </w:rPr>
        <w:t xml:space="preserve">Objective: operate one small, clean, reference-grade facility end to end, instrumented so thoroughly that the loss review writes itself.</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60"/>
          <w:left w:type="dxa" w:w="110"/>
          <w:bottom w:type="dxa" w:w="60"/>
          <w:right w:type="dxa" w:w="110"/>
        </w:tblCellMar>
      </w:tblPr>
      <w:tblGrid>
        <w:gridCol w:w="2891"/>
        <w:gridCol w:w="4819"/>
        <w:gridCol w:w="1928"/>
      </w:tblGrid>
      <w:tr>
        <w:trPr>
          <w:tblHeader/>
        </w:trPr>
        <w:tc>
          <w:tcPr>
            <w:tcW w:type="dxa" w:w="2891"/>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Item</w:t>
            </w:r>
          </w:p>
        </w:tc>
        <w:tc>
          <w:tcPr>
            <w:tcW w:type="dxa" w:w="4819"/>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What ships</w:t>
            </w:r>
          </w:p>
        </w:tc>
        <w:tc>
          <w:tcPr>
            <w:tcW w:type="dxa" w:w="1928"/>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Surface</w:t>
            </w:r>
          </w:p>
        </w:tc>
      </w:tr>
      <w:tr>
        <w:tc>
          <w:tcPr>
            <w:tcW w:type="dxa" w:w="289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Early-payment request flow</w:t>
            </w:r>
          </w:p>
        </w:tc>
        <w:tc>
          <w:tcPr>
            <w:tcW w:type="dxa" w:w="481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 supplier with an eligible confirmed invoice requests early payment; eligibility, pricing and status are transparent; rejection reasons are always stated.</w:t>
            </w:r>
          </w:p>
        </w:tc>
        <w:tc>
          <w:tcPr>
            <w:tcW w:type="dxa" w:w="192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SME App</w:t>
            </w:r>
          </w:p>
        </w:tc>
      </w:tr>
      <w:tr>
        <w:tc>
          <w:tcPr>
            <w:tcW w:type="dxa" w:w="289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Legal-pack e-flow</w:t>
            </w:r>
          </w:p>
        </w:tc>
        <w:tc>
          <w:tcPr>
            <w:tcW w:type="dxa" w:w="481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Assignment, notice service and buyer acknowledgment executed digitally from the counsel-templated Buyer Rails pack; nothing funds without a complete pack.</w:t>
            </w:r>
          </w:p>
        </w:tc>
        <w:tc>
          <w:tcPr>
            <w:tcW w:type="dxa" w:w="192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Buyer Rails</w:t>
            </w:r>
          </w:p>
        </w:tc>
      </w:tr>
      <w:tr>
        <w:tc>
          <w:tcPr>
            <w:tcW w:type="dxa" w:w="289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Bank Workbench v1</w:t>
            </w:r>
          </w:p>
        </w:tc>
        <w:tc>
          <w:tcPr>
            <w:tcW w:type="dxa" w:w="481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Facility dashboard, per-invoice approval queue, exposure and concentration views, exception handling; the bank's window into the machine.</w:t>
            </w:r>
          </w:p>
        </w:tc>
        <w:tc>
          <w:tcPr>
            <w:tcW w:type="dxa" w:w="192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Credit Layer</w:t>
            </w:r>
          </w:p>
        </w:tc>
      </w:tr>
      <w:tr>
        <w:tc>
          <w:tcPr>
            <w:tcW w:type="dxa" w:w="289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Collection-account feed live</w:t>
            </w:r>
          </w:p>
        </w:tc>
        <w:tc>
          <w:tcPr>
            <w:tcW w:type="dxa" w:w="481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Repayment observation from the bank-owned account; settlement events close the loop into the spine automatically.</w:t>
            </w:r>
          </w:p>
        </w:tc>
        <w:tc>
          <w:tcPr>
            <w:tcW w:type="dxa" w:w="192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Platform</w:t>
            </w:r>
          </w:p>
        </w:tc>
      </w:tr>
      <w:tr>
        <w:tc>
          <w:tcPr>
            <w:tcW w:type="dxa" w:w="289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Loss and fraud dashboards</w:t>
            </w:r>
          </w:p>
        </w:tc>
        <w:tc>
          <w:tcPr>
            <w:tcW w:type="dxa" w:w="481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Performance against the agreed specification in real time; the kill-check thresholds are on the screen, not in a drawer.</w:t>
            </w:r>
          </w:p>
        </w:tc>
        <w:tc>
          <w:tcPr>
            <w:tcW w:type="dxa" w:w="192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Credit Layer</w:t>
            </w:r>
          </w:p>
        </w:tc>
      </w:tr>
      <w:tr>
        <w:tc>
          <w:tcPr>
            <w:tcW w:type="dxa" w:w="289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Origination-share ledger</w:t>
            </w:r>
          </w:p>
        </w:tc>
        <w:tc>
          <w:tcPr>
            <w:tcW w:type="dxa" w:w="481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Accountant origination tracked and paid automatically; statements alongside the existing revenue-share reports.</w:t>
            </w:r>
          </w:p>
        </w:tc>
        <w:tc>
          <w:tcPr>
            <w:tcW w:type="dxa" w:w="192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Console</w:t>
            </w:r>
          </w:p>
        </w:tc>
      </w:tr>
      <w:tr>
        <w:tc>
          <w:tcPr>
            <w:tcW w:type="dxa" w:w="289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Credit-note and cancellation handling</w:t>
            </w:r>
          </w:p>
        </w:tc>
        <w:tc>
          <w:tcPr>
            <w:tcW w:type="dxa" w:w="481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Post-stamp corrections and credit notes are first-class lifecycle events; a funded invoice subsequently cancelled or credited raises a mandatory exception with recourse per the legal pack, and cancellation-rate joins the fraud signals.</w:t>
            </w:r>
          </w:p>
        </w:tc>
        <w:tc>
          <w:tcPr>
            <w:tcW w:type="dxa" w:w="192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Credit Layer</w:t>
            </w:r>
          </w:p>
        </w:tc>
      </w:tr>
    </w:tbl>
    <w:p>
      <w:pPr>
        <w:spacing w:after="120"/>
      </w:pPr>
    </w:p>
    <w:p>
      <w:pPr>
        <w:spacing w:after="140" w:line="276"/>
        <w:jc w:val="both"/>
      </w:pPr>
      <w:r>
        <w:rPr>
          <w:rFonts w:ascii="Calibri" w:cs="Calibri" w:eastAsia="Calibri" w:hAnsi="Calibri"/>
          <w:b/>
          <w:bCs/>
          <w:i w:val="false"/>
          <w:iCs w:val="false"/>
          <w:color w:val="222222"/>
          <w:sz w:val="22"/>
          <w:szCs w:val="22"/>
        </w:rPr>
        <w:t xml:space="preserve">Exit criteria: </w:t>
      </w:r>
      <w:r>
        <w:rPr>
          <w:rFonts w:ascii="Calibri" w:cs="Calibri" w:eastAsia="Calibri" w:hAnsi="Calibri"/>
          <w:b w:val="false"/>
          <w:bCs w:val="false"/>
          <w:i w:val="false"/>
          <w:iCs w:val="false"/>
          <w:color w:val="222222"/>
          <w:sz w:val="22"/>
          <w:szCs w:val="22"/>
        </w:rPr>
        <w:t xml:space="preserve">the pilot completes within the agreed loss and fraud specification; two consecutive breaches end Act Three per the plan. Non-goals: no second facility, no product marketing of financing, no expansion of eligible buyer tiers mid-pilot.</w:t>
      </w:r>
    </w:p>
    <w:p>
      <w:pPr>
        <w:pStyle w:val="Heading2"/>
      </w:pPr>
      <w:r>
        <w:t xml:space="preserve">R5 — Scale and Hardening (2028 onward; unlocks on four in-spec quarters)</w:t>
      </w:r>
    </w:p>
    <w:p>
      <w:pPr>
        <w:spacing w:after="140" w:line="276"/>
        <w:jc w:val="both"/>
      </w:pPr>
      <w:r>
        <w:rPr>
          <w:rFonts w:ascii="Calibri" w:cs="Calibri" w:eastAsia="Calibri" w:hAnsi="Calibri"/>
          <w:b w:val="false"/>
          <w:bCs w:val="false"/>
          <w:i w:val="false"/>
          <w:iCs w:val="false"/>
          <w:color w:val="222222"/>
          <w:sz w:val="22"/>
          <w:szCs w:val="22"/>
        </w:rPr>
        <w:t xml:space="preserve">Objective: compound what works. Second funding bank onto the same Workbench; the own-APP rail live once accreditation completes, retiring third-party rail dependency; open-banking ingestion replacing statement upload as Nigeria's framework matures; dynamic discounting as the buyer-funded variant on proven rails; multi-entity and API tiers for the top of the base; and a jurisdiction-configuration layer that makes the second African mandate market an implementation rather than a rebuild. Every item here is deliberately hostage to R4's numbers: a scale release built on an out-of-spec pilot is the plan's definition of failure.</w:t>
      </w:r>
    </w:p>
    <w:p>
      <w:pPr>
        <w:pStyle w:val="Heading1"/>
      </w:pPr>
      <w:r>
        <w:t xml:space="preserve">7. Cross-Cutting Workstreams</w:t>
      </w:r>
    </w:p>
    <w:p>
      <w:pPr>
        <w:spacing w:after="140" w:line="276"/>
        <w:jc w:val="both"/>
      </w:pPr>
      <w:r>
        <w:rPr>
          <w:rFonts w:ascii="Calibri" w:cs="Calibri" w:eastAsia="Calibri" w:hAnsi="Calibri"/>
          <w:b w:val="false"/>
          <w:bCs w:val="false"/>
          <w:i w:val="false"/>
          <w:iCs w:val="false"/>
          <w:color w:val="222222"/>
          <w:sz w:val="22"/>
          <w:szCs w:val="22"/>
        </w:rPr>
        <w:t xml:space="preserve">Four workstreams run under every release. Data and consent: the spine schema is versioned and migration-tested from v0; consent lineage is queryable per record; layer-three activation is a product event with an audit trail, because a bank's compliance function will one day ask to see it. Security and residency: Nigeria-resident hosting from R0; key management and digital-signature handling per NITDA duties; quarterly external testing; the named security envelope in the plan's budget is spent here, visibly. Integrations: dual APP adapters behind one interface so a rail failure is a failover, not an outage; the own-APP rail slots behind the same interface when accreditation lands; ERP and open-banking connectors are pulled by engagement evidence, never pushed by roadmap ambition. Quality and regulatory fidelity: every release passes the sandbox harness against current MBS behaviour; a change to submission logic requires tax-lead sign-off recorded in the audit log; the release checklist treats a client penalty caused by MeridianIQ as a sev-zero incident with a public post-mortem to partner firms, because trust is the product underneath the product.</w:t>
      </w:r>
    </w:p>
    <w:p>
      <w:pPr>
        <w:pStyle w:val="Heading1"/>
      </w:pPr>
      <w:r>
        <w:t xml:space="preserve">8. Metrics That Matter, by Stage</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60"/>
          <w:left w:type="dxa" w:w="110"/>
          <w:bottom w:type="dxa" w:w="60"/>
          <w:right w:type="dxa" w:w="110"/>
        </w:tblCellMar>
      </w:tblPr>
      <w:tblGrid>
        <w:gridCol w:w="1349"/>
        <w:gridCol w:w="4144"/>
        <w:gridCol w:w="4145"/>
      </w:tblGrid>
      <w:tr>
        <w:trPr>
          <w:tblHeader/>
        </w:trPr>
        <w:tc>
          <w:tcPr>
            <w:tcW w:type="dxa" w:w="1349"/>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Stage</w:t>
            </w:r>
          </w:p>
        </w:tc>
        <w:tc>
          <w:tcPr>
            <w:tcW w:type="dxa" w:w="4144"/>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North-star metric</w:t>
            </w:r>
          </w:p>
        </w:tc>
        <w:tc>
          <w:tcPr>
            <w:tcW w:type="dxa" w:w="4145"/>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Guardrails watched beside it</w:t>
            </w:r>
          </w:p>
        </w:tc>
      </w:tr>
      <w:tr>
        <w:tc>
          <w:tcPr>
            <w:tcW w:type="dxa" w:w="134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R0</w:t>
            </w:r>
          </w:p>
        </w:tc>
        <w:tc>
          <w:tcPr>
            <w:tcW w:type="dxa" w:w="4144"/>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Paid engagements delivered per consultant-week.</w:t>
            </w:r>
          </w:p>
        </w:tc>
        <w:tc>
          <w:tcPr>
            <w:tcW w:type="dxa" w:w="414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Template reuse rate rising; error-catalogue coverage of failures encountered above 80 percent; every engagement's data landing in the spine.</w:t>
            </w:r>
          </w:p>
        </w:tc>
      </w:tr>
      <w:tr>
        <w:tc>
          <w:tcPr>
            <w:tcW w:type="dxa" w:w="134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R1</w:t>
            </w:r>
          </w:p>
        </w:tc>
        <w:tc>
          <w:tcPr>
            <w:tcW w:type="dxa" w:w="4144"/>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Channel-sourced subscriptions (target 150+ by 31 March 2027).</w:t>
            </w:r>
          </w:p>
        </w:tc>
        <w:tc>
          <w:tcPr>
            <w:tcW w:type="dxa" w:w="414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Time to first stamped invoice under 48 hours; monthly gross churn under 2 percent; failure self-resolution above 80 percent; Desk operator client-load per head.</w:t>
            </w:r>
          </w:p>
        </w:tc>
      </w:tr>
      <w:tr>
        <w:tc>
          <w:tcPr>
            <w:tcW w:type="dxa" w:w="134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R2</w:t>
            </w:r>
          </w:p>
        </w:tc>
        <w:tc>
          <w:tcPr>
            <w:tcW w:type="dxa" w:w="4144"/>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Credit-observable businesses (tracking to 300 by end-2027).</w:t>
            </w:r>
          </w:p>
        </w:tc>
        <w:tc>
          <w:tcPr>
            <w:tcW w:type="dxa" w:w="414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Confirmed invoices per anchor buyer per month; reconciliation match rate; small-wave onboarding cost per client; WhatsApp alert open rates.</w:t>
            </w:r>
          </w:p>
        </w:tc>
      </w:tr>
      <w:tr>
        <w:tc>
          <w:tcPr>
            <w:tcW w:type="dxa" w:w="134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R3</w:t>
            </w:r>
          </w:p>
        </w:tc>
        <w:tc>
          <w:tcPr>
            <w:tcW w:type="dxa" w:w="4144"/>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Bank data-room engagement: sessions and written feedback from named institutions.</w:t>
            </w:r>
          </w:p>
        </w:tc>
        <w:tc>
          <w:tcPr>
            <w:tcW w:type="dxa" w:w="414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Fraud-suite precision and recall on back-tests; percentage of corpus meeting the mandatory-source rule; scorecard field coverage.</w:t>
            </w:r>
          </w:p>
        </w:tc>
      </w:tr>
      <w:tr>
        <w:tc>
          <w:tcPr>
            <w:tcW w:type="dxa" w:w="134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R4</w:t>
            </w:r>
          </w:p>
        </w:tc>
        <w:tc>
          <w:tcPr>
            <w:tcW w:type="dxa" w:w="4144"/>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Facilitated volume within loss and fraud spec.</w:t>
            </w:r>
          </w:p>
        </w:tc>
        <w:tc>
          <w:tcPr>
            <w:tcW w:type="dxa" w:w="414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Approval-to-funding time; direct-payment leakage rate; dispute and set-off incidence; accountant origination share paid on time.</w:t>
            </w:r>
          </w:p>
        </w:tc>
      </w:tr>
      <w:tr>
        <w:tc>
          <w:tcPr>
            <w:tcW w:type="dxa" w:w="134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R5</w:t>
            </w:r>
          </w:p>
        </w:tc>
        <w:tc>
          <w:tcPr>
            <w:tcW w:type="dxa" w:w="4144"/>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Facilitation revenue per credit-visible business.</w:t>
            </w:r>
          </w:p>
        </w:tc>
        <w:tc>
          <w:tcPr>
            <w:tcW w:type="dxa" w:w="414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Second-bank onboarding time; own-rail share of transmissions; open-banking coverage of settlement observation; cost-to-serve trend.</w:t>
            </w:r>
          </w:p>
        </w:tc>
      </w:tr>
    </w:tbl>
    <w:p>
      <w:pPr>
        <w:spacing w:after="120"/>
      </w:pPr>
    </w:p>
    <w:p>
      <w:pPr>
        <w:pStyle w:val="Heading1"/>
      </w:pPr>
      <w:r>
        <w:t xml:space="preserve">9. Dependencies, Assumptions and Roadmap Risks</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60"/>
          <w:left w:type="dxa" w:w="110"/>
          <w:bottom w:type="dxa" w:w="60"/>
          <w:right w:type="dxa" w:w="110"/>
        </w:tblCellMar>
      </w:tblPr>
      <w:tblGrid>
        <w:gridCol w:w="2120"/>
        <w:gridCol w:w="4048"/>
        <w:gridCol w:w="3470"/>
      </w:tblGrid>
      <w:tr>
        <w:trPr>
          <w:tblHeader/>
        </w:trPr>
        <w:tc>
          <w:tcPr>
            <w:tcW w:type="dxa" w:w="2120"/>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Dependency</w:t>
            </w:r>
          </w:p>
        </w:tc>
        <w:tc>
          <w:tcPr>
            <w:tcW w:type="dxa" w:w="4048"/>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What the roadmap assumes</w:t>
            </w:r>
          </w:p>
        </w:tc>
        <w:tc>
          <w:tcPr>
            <w:tcW w:type="dxa" w:w="3470"/>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If the assumption breaks</w:t>
            </w:r>
          </w:p>
        </w:tc>
      </w:tr>
      <w:tr>
        <w:tc>
          <w:tcPr>
            <w:tcW w:type="dxa" w:w="2120"/>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APP partner rails</w:t>
            </w:r>
          </w:p>
        </w:tc>
        <w:tc>
          <w:tcPr>
            <w:tcW w:type="dxa" w:w="404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Sandbox access in R0; production stability adequate for retry logic to mask ordinary failures.</w:t>
            </w:r>
          </w:p>
        </w:tc>
        <w:tc>
          <w:tcPr>
            <w:tcW w:type="dxa" w:w="3470"/>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Dual-rail failover absorbs single-rail trouble; chronic instability accelerates the own-APP decision rather than pausing releases.</w:t>
            </w:r>
          </w:p>
        </w:tc>
      </w:tr>
      <w:tr>
        <w:tc>
          <w:tcPr>
            <w:tcW w:type="dxa" w:w="2120"/>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MBS platform behaviour</w:t>
            </w:r>
          </w:p>
        </w:tc>
        <w:tc>
          <w:tcPr>
            <w:tcW w:type="dxa" w:w="404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API and validation rules change with notice; the sandbox harness catches drift.</w:t>
            </w:r>
          </w:p>
        </w:tc>
        <w:tc>
          <w:tcPr>
            <w:tcW w:type="dxa" w:w="3470"/>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Unannounced changes are absorbed by the harness-first release rule; the error catalogue turns each incident into product help.</w:t>
            </w:r>
          </w:p>
        </w:tc>
      </w:tr>
      <w:tr>
        <w:tc>
          <w:tcPr>
            <w:tcW w:type="dxa" w:w="2120"/>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SI provisional licence</w:t>
            </w:r>
          </w:p>
        </w:tc>
        <w:tc>
          <w:tcPr>
            <w:tcW w:type="dxa" w:w="404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Filed at incorporation; integration work bridges under the counsel-approved partner model meanwhile.</w:t>
            </w:r>
          </w:p>
        </w:tc>
        <w:tc>
          <w:tcPr>
            <w:tcW w:type="dxa" w:w="3470"/>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Roadmap unaffected for advisory tooling; integration-line features in R1 ship behind the partner model until the licence lands.</w:t>
            </w:r>
          </w:p>
        </w:tc>
      </w:tr>
      <w:tr>
        <w:tc>
          <w:tcPr>
            <w:tcW w:type="dxa" w:w="2120"/>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Counsel deliverables</w:t>
            </w:r>
          </w:p>
        </w:tc>
        <w:tc>
          <w:tcPr>
            <w:tcW w:type="dxa" w:w="404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Consent architecture before R1 onboarding; legal pack and assignment opinion before R4.</w:t>
            </w:r>
          </w:p>
        </w:tc>
        <w:tc>
          <w:tcPr>
            <w:tcW w:type="dxa" w:w="3470"/>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R1 onboarding cannot ship without the consent flows; R4 cannot fund without the pack. These are hard blocks by design.</w:t>
            </w:r>
          </w:p>
        </w:tc>
      </w:tr>
      <w:tr>
        <w:tc>
          <w:tcPr>
            <w:tcW w:type="dxa" w:w="2120"/>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Bank design partners</w:t>
            </w:r>
          </w:p>
        </w:tc>
        <w:tc>
          <w:tcPr>
            <w:tcW w:type="dxa" w:w="404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Feedback shapes R3; the MOU and approval gate R4.</w:t>
            </w:r>
          </w:p>
        </w:tc>
        <w:tc>
          <w:tcPr>
            <w:tcW w:type="dxa" w:w="3470"/>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No MOU by 30 June 2027 defers R3 outward and R4 by twelve months; R2 continues earning regardless.</w:t>
            </w:r>
          </w:p>
        </w:tc>
      </w:tr>
      <w:tr>
        <w:tc>
          <w:tcPr>
            <w:tcW w:type="dxa" w:w="2120"/>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Buyer participation</w:t>
            </w:r>
          </w:p>
        </w:tc>
        <w:tc>
          <w:tcPr>
            <w:tcW w:type="dxa" w:w="404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Anchors confirm invoices because VAT protection is in their own interest.</w:t>
            </w:r>
          </w:p>
        </w:tc>
        <w:tc>
          <w:tcPr>
            <w:tcW w:type="dxa" w:w="3470"/>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If Deliverable 11 pilots show resistance, Buyer Rails v1 narrows to VAT verification only and Act Three's timeline moves; this is the roadmap's single most watched assumption.</w:t>
            </w:r>
          </w:p>
        </w:tc>
      </w:tr>
      <w:tr>
        <w:tc>
          <w:tcPr>
            <w:tcW w:type="dxa" w:w="2120"/>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Free government portal</w:t>
            </w:r>
          </w:p>
        </w:tc>
        <w:tc>
          <w:tcPr>
            <w:tcW w:type="dxa" w:w="404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Remains bare-submission; the paid layer lives above it.</w:t>
            </w:r>
          </w:p>
        </w:tc>
        <w:tc>
          <w:tcPr>
            <w:tcW w:type="dxa" w:w="3470"/>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 surprisingly good portal shrinks Essential-tier value; the response is Desk-tier service wrapping and Professional-tier workflow, per the plan's kill criterion.</w:t>
            </w:r>
          </w:p>
        </w:tc>
      </w:tr>
    </w:tbl>
    <w:p>
      <w:pPr>
        <w:spacing w:after="120"/>
      </w:pPr>
    </w:p>
    <w:p>
      <w:pPr>
        <w:pStyle w:val="Heading1"/>
      </w:pPr>
      <w:r>
        <w:t xml:space="preserve">10. Roadmap Governance: How This Document Changes</w:t>
      </w:r>
    </w:p>
    <w:p>
      <w:pPr>
        <w:spacing w:after="140" w:line="276"/>
        <w:jc w:val="both"/>
      </w:pPr>
      <w:r>
        <w:rPr>
          <w:rFonts w:ascii="Calibri" w:cs="Calibri" w:eastAsia="Calibri" w:hAnsi="Calibri"/>
          <w:b w:val="false"/>
          <w:bCs w:val="false"/>
          <w:i w:val="false"/>
          <w:iCs w:val="false"/>
          <w:color w:val="222222"/>
          <w:sz w:val="22"/>
          <w:szCs w:val="22"/>
        </w:rPr>
        <w:t xml:space="preserve">The roadmap is reviewed monthly against three inputs: gate status from the plan's Section 15, the metrics table above, and a rolling top-ten of verbatim user requests from partner firms and Desk operators. Changes follow one asymmetry: it is always permissible to cut or defer scope, and never permissible to pull a gated release forward of its gate — the gates belong to the business plan and only evidence moves them. Release contents inside a horizon are the product owner's to reshuffle; horizon boundaries are not. Each monthly review ends by re-asking the R0 question of whatever is currently being built: who has paid, or committed in writing, for this? Anything without an answer goes back on the shelf. And in keeping with the covenant that closed the planning phase: the first version of this roadmap was written before contact with the market, so its highest purpose is to be corrected quickly, visibly, and in ink.</w:t>
      </w:r>
    </w:p>
    <w:p>
      <w:r>
        <w:br w:type="page"/>
      </w:r>
    </w:p>
    <w:p>
      <w:pPr>
        <w:pStyle w:val="Heading1"/>
      </w:pPr>
      <w:r>
        <w:t xml:space="preserve">Appendix A: Deliverable-to-Product Traceability</w:t>
      </w:r>
    </w:p>
    <w:p>
      <w:pPr>
        <w:spacing w:after="140" w:line="276"/>
        <w:jc w:val="both"/>
      </w:pPr>
      <w:r>
        <w:rPr>
          <w:rFonts w:ascii="Calibri" w:cs="Calibri" w:eastAsia="Calibri" w:hAnsi="Calibri"/>
          <w:b w:val="false"/>
          <w:bCs w:val="false"/>
          <w:i w:val="false"/>
          <w:iCs w:val="false"/>
          <w:color w:val="222222"/>
          <w:sz w:val="22"/>
          <w:szCs w:val="22"/>
        </w:rPr>
        <w:t xml:space="preserve">Every product item in R0 and R1 exists to serve a named deliverable or gate from Business Plan v3.2, Section 15. This table is the anti-scope-creep contract: an item that cannot cite its deliverable does not get built.</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60"/>
          <w:left w:type="dxa" w:w="110"/>
          <w:bottom w:type="dxa" w:w="60"/>
          <w:right w:type="dxa" w:w="110"/>
        </w:tblCellMar>
      </w:tblPr>
      <w:tblGrid>
        <w:gridCol w:w="2120"/>
        <w:gridCol w:w="3759"/>
        <w:gridCol w:w="3759"/>
      </w:tblGrid>
      <w:tr>
        <w:trPr>
          <w:tblHeader/>
        </w:trPr>
        <w:tc>
          <w:tcPr>
            <w:tcW w:type="dxa" w:w="2120"/>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Plan deliverable / gate</w:t>
            </w:r>
          </w:p>
        </w:tc>
        <w:tc>
          <w:tcPr>
            <w:tcW w:type="dxa" w:w="3759"/>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Product item that serves it</w:t>
            </w:r>
          </w:p>
        </w:tc>
        <w:tc>
          <w:tcPr>
            <w:tcW w:type="dxa" w:w="3759"/>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Where it lives</w:t>
            </w:r>
          </w:p>
        </w:tc>
      </w:tr>
      <w:tr>
        <w:tc>
          <w:tcPr>
            <w:tcW w:type="dxa" w:w="2120"/>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D1 (APP partnerships)</w:t>
            </w:r>
          </w:p>
        </w:tc>
        <w:tc>
          <w:tcPr>
            <w:tcW w:type="dxa" w:w="375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Sandbox harness; dual-APP adapter interface.</w:t>
            </w:r>
          </w:p>
        </w:tc>
        <w:tc>
          <w:tcPr>
            <w:tcW w:type="dxa" w:w="375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R0 Platform; R1 Platform</w:t>
            </w:r>
          </w:p>
        </w:tc>
      </w:tr>
      <w:tr>
        <w:tc>
          <w:tcPr>
            <w:tcW w:type="dxa" w:w="2120"/>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D1A (SI path)</w:t>
            </w:r>
          </w:p>
        </w:tc>
        <w:tc>
          <w:tcPr>
            <w:tcW w:type="dxa" w:w="375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Partner-delivery workflow flags on integration engagements; licence-status feature toggle for the integration line.</w:t>
            </w:r>
          </w:p>
        </w:tc>
        <w:tc>
          <w:tcPr>
            <w:tcW w:type="dxa" w:w="375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R0-R1 Operator tooling</w:t>
            </w:r>
          </w:p>
        </w:tc>
      </w:tr>
      <w:tr>
        <w:tc>
          <w:tcPr>
            <w:tcW w:type="dxa" w:w="2120"/>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D2, D3 (paid pilots, advisory revenue)</w:t>
            </w:r>
          </w:p>
        </w:tc>
        <w:tc>
          <w:tcPr>
            <w:tcW w:type="dxa" w:w="375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Readiness assessment kit; engagement billing; upfront-collection tracking.</w:t>
            </w:r>
          </w:p>
        </w:tc>
        <w:tc>
          <w:tcPr>
            <w:tcW w:type="dxa" w:w="375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R0 Advisory Toolkit</w:t>
            </w:r>
          </w:p>
        </w:tc>
      </w:tr>
      <w:tr>
        <w:tc>
          <w:tcPr>
            <w:tcW w:type="dxa" w:w="2120"/>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D4 (assessments and error catalogue)</w:t>
            </w:r>
          </w:p>
        </w:tc>
        <w:tc>
          <w:tcPr>
            <w:tcW w:type="dxa" w:w="375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Validation-error catalogue; templates that improve per engagement.</w:t>
            </w:r>
          </w:p>
        </w:tc>
        <w:tc>
          <w:tcPr>
            <w:tcW w:type="dxa" w:w="375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R0 Advisory Toolkit</w:t>
            </w:r>
          </w:p>
        </w:tc>
      </w:tr>
      <w:tr>
        <w:tc>
          <w:tcPr>
            <w:tcW w:type="dxa" w:w="2120"/>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D5 (VAT-risk checks)</w:t>
            </w:r>
          </w:p>
        </w:tc>
        <w:tc>
          <w:tcPr>
            <w:tcW w:type="dxa" w:w="375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VAT-risk check engine; buyer-supplier graph output.</w:t>
            </w:r>
          </w:p>
        </w:tc>
        <w:tc>
          <w:tcPr>
            <w:tcW w:type="dxa" w:w="375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R0 Advisory Toolkit</w:t>
            </w:r>
          </w:p>
        </w:tc>
      </w:tr>
      <w:tr>
        <w:tc>
          <w:tcPr>
            <w:tcW w:type="dxa" w:w="2120"/>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D7 (portal teardown)</w:t>
            </w:r>
          </w:p>
        </w:tc>
        <w:tc>
          <w:tcPr>
            <w:tcW w:type="dxa" w:w="375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Feature-boundary map: the written record of what R1 deliberately does not build.</w:t>
            </w:r>
          </w:p>
        </w:tc>
        <w:tc>
          <w:tcPr>
            <w:tcW w:type="dxa" w:w="375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R1 scoping input</w:t>
            </w:r>
          </w:p>
        </w:tc>
      </w:tr>
      <w:tr>
        <w:tc>
          <w:tcPr>
            <w:tcW w:type="dxa" w:w="2120"/>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D8 (counsel memo)</w:t>
            </w:r>
          </w:p>
        </w:tc>
        <w:tc>
          <w:tcPr>
            <w:tcW w:type="dxa" w:w="375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Marketing-claims guardrails in all product copy; integration-line toggles.</w:t>
            </w:r>
          </w:p>
        </w:tc>
        <w:tc>
          <w:tcPr>
            <w:tcW w:type="dxa" w:w="375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R0-R1 Platform</w:t>
            </w:r>
          </w:p>
        </w:tc>
      </w:tr>
      <w:tr>
        <w:tc>
          <w:tcPr>
            <w:tcW w:type="dxa" w:w="2120"/>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D9 (data rights)</w:t>
            </w:r>
          </w:p>
        </w:tc>
        <w:tc>
          <w:tcPr>
            <w:tcW w:type="dxa" w:w="375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Consent ledger; three-layer flows; lineage queries.</w:t>
            </w:r>
          </w:p>
        </w:tc>
        <w:tc>
          <w:tcPr>
            <w:tcW w:type="dxa" w:w="375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R0 Core; R1 onboarding</w:t>
            </w:r>
          </w:p>
        </w:tc>
      </w:tr>
      <w:tr>
        <w:tc>
          <w:tcPr>
            <w:tcW w:type="dxa" w:w="2120"/>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D10 (underwriting spec)</w:t>
            </w:r>
          </w:p>
        </w:tc>
        <w:tc>
          <w:tcPr>
            <w:tcW w:type="dxa" w:w="375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Bank data-room skeleton built to Appendix C fields; scorecard field mapping.</w:t>
            </w:r>
          </w:p>
        </w:tc>
        <w:tc>
          <w:tcPr>
            <w:tcW w:type="dxa" w:w="375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R0 dormant; R3 Credit Layer</w:t>
            </w:r>
          </w:p>
        </w:tc>
      </w:tr>
      <w:tr>
        <w:tc>
          <w:tcPr>
            <w:tcW w:type="dxa" w:w="2120"/>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D11 (buyer pilots)</w:t>
            </w:r>
          </w:p>
        </w:tc>
        <w:tc>
          <w:tcPr>
            <w:tcW w:type="dxa" w:w="375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Manual confirmation workflow instrumented for the 50-invoice pilots; learnings scope Buyer Rails v1.</w:t>
            </w:r>
          </w:p>
        </w:tc>
        <w:tc>
          <w:tcPr>
            <w:tcW w:type="dxa" w:w="375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R0-R1 manual; R2 product</w:t>
            </w:r>
          </w:p>
        </w:tc>
      </w:tr>
      <w:tr>
        <w:tc>
          <w:tcPr>
            <w:tcW w:type="dxa" w:w="2120"/>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Platform gates</w:t>
            </w:r>
          </w:p>
        </w:tc>
        <w:tc>
          <w:tcPr>
            <w:tcW w:type="dxa" w:w="375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Billing, tiering and activation analytics that measure the gates themselves.</w:t>
            </w:r>
          </w:p>
        </w:tc>
        <w:tc>
          <w:tcPr>
            <w:tcW w:type="dxa" w:w="375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R1 Platform</w:t>
            </w:r>
          </w:p>
        </w:tc>
      </w:tr>
      <w:tr>
        <w:tc>
          <w:tcPr>
            <w:tcW w:type="dxa" w:w="2120"/>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Bank MOU and pilot approval</w:t>
            </w:r>
          </w:p>
        </w:tc>
        <w:tc>
          <w:tcPr>
            <w:tcW w:type="dxa" w:w="375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Data room; eligibility engine; Workbench; loss dashboards.</w:t>
            </w:r>
          </w:p>
        </w:tc>
        <w:tc>
          <w:tcPr>
            <w:tcW w:type="dxa" w:w="375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R3-R4 Credit Layer</w:t>
            </w:r>
          </w:p>
        </w:tc>
      </w:tr>
    </w:tbl>
    <w:p>
      <w:pPr>
        <w:pStyle w:val="Heading1"/>
      </w:pPr>
      <w:r>
        <w:t xml:space="preserve">Appendix B: Operating Definitions</w:t>
      </w:r>
    </w:p>
    <w:p>
      <w:pPr>
        <w:spacing w:after="140" w:line="276"/>
        <w:jc w:val="both"/>
      </w:pPr>
      <w:r>
        <w:rPr>
          <w:rFonts w:ascii="Calibri" w:cs="Calibri" w:eastAsia="Calibri" w:hAnsi="Calibri"/>
          <w:b w:val="false"/>
          <w:bCs w:val="false"/>
          <w:i w:val="false"/>
          <w:iCs w:val="false"/>
          <w:color w:val="222222"/>
          <w:sz w:val="22"/>
          <w:szCs w:val="22"/>
        </w:rPr>
        <w:t xml:space="preserve">These terms drive gates and quotas; they are defined here so no gate can be passed by interpretation.</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60"/>
          <w:left w:type="dxa" w:w="110"/>
          <w:bottom w:type="dxa" w:w="60"/>
          <w:right w:type="dxa" w:w="110"/>
        </w:tblCellMar>
      </w:tblPr>
      <w:tblGrid>
        <w:gridCol w:w="2313"/>
        <w:gridCol w:w="7325"/>
      </w:tblGrid>
      <w:tr>
        <w:trPr>
          <w:tblHeader/>
        </w:trPr>
        <w:tc>
          <w:tcPr>
            <w:tcW w:type="dxa" w:w="2313"/>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Term</w:t>
            </w:r>
          </w:p>
        </w:tc>
        <w:tc>
          <w:tcPr>
            <w:tcW w:type="dxa" w:w="7325"/>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Definition</w:t>
            </w:r>
          </w:p>
        </w:tc>
      </w:tr>
      <w:tr>
        <w:tc>
          <w:tcPr>
            <w:tcW w:type="dxa" w:w="2313"/>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Subscribed business</w:t>
            </w:r>
          </w:p>
        </w:tc>
        <w:tc>
          <w:tcPr>
            <w:tcW w:type="dxa" w:w="732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 business with an active paid tier in billing; trials and pilots do not count.</w:t>
            </w:r>
          </w:p>
        </w:tc>
      </w:tr>
      <w:tr>
        <w:tc>
          <w:tcPr>
            <w:tcW w:type="dxa" w:w="2313"/>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Active practice</w:t>
            </w:r>
          </w:p>
        </w:tc>
        <w:tc>
          <w:tcPr>
            <w:tcW w:type="dxa" w:w="732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 certified firm with logged client contacts in the trailing 30 days: emails and calls recorded, named prospects entered, proposals issued, and at least one paid end-client conversion since certification.</w:t>
            </w:r>
          </w:p>
        </w:tc>
      </w:tr>
      <w:tr>
        <w:tc>
          <w:tcPr>
            <w:tcW w:type="dxa" w:w="2313"/>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Channel-sourced subscription</w:t>
            </w:r>
          </w:p>
        </w:tc>
        <w:tc>
          <w:tcPr>
            <w:tcW w:type="dxa" w:w="732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 subscription whose originating firm is recorded at signup; the unit the 150-by-31-March kill check counts.</w:t>
            </w:r>
          </w:p>
        </w:tc>
      </w:tr>
      <w:tr>
        <w:tc>
          <w:tcPr>
            <w:tcW w:type="dxa" w:w="2313"/>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Credit-observable</w:t>
            </w:r>
          </w:p>
        </w:tc>
        <w:tc>
          <w:tcPr>
            <w:tcW w:type="dxa" w:w="732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 client whose stamped invoices have begun flowing through the platform, with some confirmation or settlement signal; the wider tier used for bank-data-room analysis (300+ by end-2027).</w:t>
            </w:r>
          </w:p>
        </w:tc>
      </w:tr>
      <w:tr>
        <w:tc>
          <w:tcPr>
            <w:tcW w:type="dxa" w:w="2313"/>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Credit-visible</w:t>
            </w:r>
          </w:p>
        </w:tc>
        <w:tc>
          <w:tcPr>
            <w:tcW w:type="dxa" w:w="732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Six or more months of stamped, buyer-confirmed, settlement-observed history; the bank-grade tier eligible for financing consideration (120+ by fiscal year-two-end).</w:t>
            </w:r>
          </w:p>
        </w:tc>
      </w:tr>
      <w:tr>
        <w:tc>
          <w:tcPr>
            <w:tcW w:type="dxa" w:w="2313"/>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Buyer-confirmed</w:t>
            </w:r>
          </w:p>
        </w:tc>
        <w:tc>
          <w:tcPr>
            <w:tcW w:type="dxa" w:w="732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An invoice carrying a confirmation event recorded by an identified buyer-side user inside Buyer Rails, with lineage.</w:t>
            </w:r>
          </w:p>
        </w:tc>
      </w:tr>
      <w:tr>
        <w:tc>
          <w:tcPr>
            <w:tcW w:type="dxa" w:w="2313"/>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Settlement-observed</w:t>
            </w:r>
          </w:p>
        </w:tc>
        <w:tc>
          <w:tcPr>
            <w:tcW w:type="dxa" w:w="732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An invoice with at least one SettlementEvent from an allowed source: statement match, buyer payment flag, or collection-account feed; accountant-uploaded evidence never qualifies alone.</w:t>
            </w:r>
          </w:p>
        </w:tc>
      </w:tr>
      <w:tr>
        <w:tc>
          <w:tcPr>
            <w:tcW w:type="dxa" w:w="2313"/>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Financeable</w:t>
            </w:r>
          </w:p>
        </w:tc>
        <w:tc>
          <w:tcPr>
            <w:tcW w:type="dxa" w:w="732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An invoice passing the full eligibility rule set of TRD CR-01, inside concentration and buyer-tier caps, with complete KYB on the parties.</w:t>
            </w:r>
          </w:p>
        </w:tc>
      </w:tr>
    </w:tbl>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1E8E6" w:sz="4" w:space="4"/>
      </w:pBdr>
      <w:tabs>
        <w:tab w:val="right" w:pos="9638"/>
      </w:tabs>
    </w:pPr>
    <w:r>
      <w:rPr>
        <w:rFonts w:ascii="Calibri" w:cs="Calibri" w:eastAsia="Calibri" w:hAnsi="Calibri"/>
        <w:color w:val="9AA5A2"/>
        <w:sz w:val="16"/>
        <w:szCs w:val="16"/>
      </w:rPr>
      <w:t xml:space="preserve">MeridianIQ — Confidential</w:t>
    </w:r>
    <w:r>
      <w:rPr>
        <w:sz w:val="16"/>
        <w:szCs w:val="16"/>
      </w:rPr>
      <w:t xml:space="preserve">	</w:t>
    </w:r>
    <w:r>
      <w:rPr>
        <w:rFonts w:ascii="Calibri" w:cs="Calibri" w:eastAsia="Calibri" w:hAnsi="Calibri"/>
        <w:color w:val="9AA5A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1E8E6" w:sz="4" w:space="4"/>
      </w:pBdr>
      <w:spacing w:after="0"/>
      <w:jc w:val="right"/>
    </w:pPr>
    <w:r>
      <w:rPr>
        <w:rFonts w:ascii="Calibri" w:cs="Calibri" w:eastAsia="Calibri" w:hAnsi="Calibri"/>
        <w:color w:val="9AA5A2"/>
        <w:sz w:val="16"/>
        <w:szCs w:val="16"/>
      </w:rPr>
      <w:t xml:space="preserve">MeridianIQ Product Roadmap v1.1  ·  July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pPr>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A227" w:sz="8" w:space="3"/>
      </w:pBdr>
      <w:spacing w:after="180" w:before="360"/>
    </w:pPr>
    <w:rPr>
      <w:rFonts w:ascii="Calibri" w:cs="Calibri" w:eastAsia="Calibri" w:hAnsi="Calibri"/>
      <w:b/>
      <w:bCs/>
      <w:color w:val="0E4C45"/>
      <w:sz w:val="31"/>
      <w:szCs w:val="31"/>
    </w:rPr>
  </w:style>
  <w:style w:type="paragraph" w:styleId="Heading2">
    <w:name w:val="Heading 2"/>
    <w:basedOn w:val="Normal"/>
    <w:next w:val="Normal"/>
    <w:qFormat/>
    <w:pPr>
      <w:keepNext/>
      <w:spacing w:after="120" w:before="260"/>
    </w:pPr>
    <w:rPr>
      <w:rFonts w:ascii="Calibri" w:cs="Calibri" w:eastAsia="Calibri" w:hAnsi="Calibri"/>
      <w:b/>
      <w:bCs/>
      <w:color w:val="0A3833"/>
      <w:sz w:val="25"/>
      <w:szCs w:val="25"/>
    </w:rPr>
  </w:style>
  <w:style w:type="paragraph" w:styleId="Heading3">
    <w:name w:val="Heading 3"/>
    <w:basedOn w:val="Normal"/>
    <w:next w:val="Normal"/>
    <w:qFormat/>
    <w:pPr>
      <w:keepNext/>
      <w:spacing w:after="100" w:before="200"/>
    </w:pPr>
    <w:rPr>
      <w:rFonts w:ascii="Calibri" w:cs="Calibri" w:eastAsia="Calibri" w:hAnsi="Calibri"/>
      <w:b/>
      <w:bCs/>
      <w:color w:val="3E4B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MeridianIQ Product Roadmap v1.1</dc:title>
  <dc:creator>MeridianIQ</dc:creator>
  <dc:description>Execution companion to Business Plan v3.2: gated releases R0-R5 on one data spine</dc:description>
  <cp:lastModifiedBy>Un-named</cp:lastModifiedBy>
  <cp:revision>1</cp:revision>
  <dcterms:created xsi:type="dcterms:W3CDTF">2026-07-07T07:58:28.534Z</dcterms:created>
  <dcterms:modified xsi:type="dcterms:W3CDTF">2026-07-07T07:58:28.535Z</dcterms:modified>
</cp:coreProperties>
</file>

<file path=docProps/custom.xml><?xml version="1.0" encoding="utf-8"?>
<Properties xmlns="http://schemas.openxmlformats.org/officeDocument/2006/custom-properties" xmlns:vt="http://schemas.openxmlformats.org/officeDocument/2006/docPropsVTypes"/>
</file>