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Calibri" w:cs="Calibri" w:eastAsia="Calibri" w:hAnsi="Calibri"/>
          <w:b/>
          <w:bCs/>
          <w:color w:val="0E4C45"/>
          <w:sz w:val="84"/>
          <w:szCs w:val="84"/>
        </w:rPr>
        <w:t xml:space="preserve">MeridianIQ</w:t>
      </w:r>
    </w:p>
    <w:p>
      <w:pPr>
        <w:spacing w:after="260"/>
        <w:jc w:val="center"/>
      </w:pPr>
      <w:r>
        <w:rPr>
          <w:rFonts w:ascii="Calibri" w:cs="Calibri" w:eastAsia="Calibri" w:hAnsi="Calibri"/>
          <w:b/>
          <w:bCs/>
          <w:color w:val="0A3833"/>
          <w:sz w:val="40"/>
          <w:szCs w:val="40"/>
        </w:rPr>
        <w:t xml:space="preserve">Technical Requirements Document</w:t>
      </w:r>
    </w:p>
    <w:p>
      <w:pPr>
        <w:spacing w:after="520"/>
        <w:jc w:val="center"/>
      </w:pPr>
      <w:r>
        <w:rPr>
          <w:rFonts w:ascii="Calibri" w:cs="Calibri" w:eastAsia="Calibri" w:hAnsi="Calibri"/>
          <w:color w:val="5A5A5A"/>
          <w:sz w:val="25"/>
          <w:szCs w:val="25"/>
        </w:rPr>
        <w:t xml:space="preserve">One data spine, seven surfaces, two regulators, zero naira held — the system specification behind Business Plan v3.2 and Roadmap v1.0</w:t>
      </w:r>
    </w:p>
    <w:p>
      <w:pPr>
        <w:spacing w:after="2800"/>
        <w:jc w:val="center"/>
      </w:pPr>
      <w:r>
        <w:rPr>
          <w:rFonts w:ascii="Calibri" w:cs="Calibri" w:eastAsia="Calibri" w:hAnsi="Calibri"/>
          <w:color w:val="5A5A5A"/>
          <w:sz w:val="22"/>
          <w:szCs w:val="22"/>
        </w:rPr>
        <w:t xml:space="preserve">TRD v1.1  ·  July 2026  ·  Lagos, Nigeria</w:t>
      </w:r>
    </w:p>
    <w:p>
      <w:pPr>
        <w:jc w:val="center"/>
      </w:pPr>
      <w:r>
        <w:rPr>
          <w:rFonts w:ascii="Calibri" w:cs="Calibri" w:eastAsia="Calibri" w:hAnsi="Calibri"/>
          <w:i/>
          <w:iCs/>
          <w:color w:val="5A5A5A"/>
          <w:sz w:val="18"/>
          <w:szCs w:val="18"/>
        </w:rPr>
        <w:t xml:space="preserve">Confidential. Requirements carry release tags (R0-R5) and inherit the gates of Business Plan v3.2, Section 15: a requirement is not in scope until its release is unlocked by evidence.</w:t>
      </w:r>
    </w:p>
    <w:p>
      <w:r>
        <w:br w:type="page"/>
      </w:r>
    </w:p>
    <w:p>
      <w:pPr>
        <w:pStyle w:val="Heading1"/>
      </w:pPr>
      <w:r>
        <w:t xml:space="preserve">Contents</w:t>
      </w:r>
    </w:p>
    <w:p>
      <w:pPr>
        <w:spacing w:after="90" w:line="276"/>
        <w:jc w:val="left"/>
      </w:pPr>
      <w:r>
        <w:rPr>
          <w:rFonts w:ascii="Calibri" w:cs="Calibri" w:eastAsia="Calibri" w:hAnsi="Calibri"/>
          <w:b w:val="false"/>
          <w:bCs w:val="false"/>
          <w:i w:val="false"/>
          <w:iCs w:val="false"/>
          <w:color w:val="222222"/>
          <w:sz w:val="23"/>
          <w:szCs w:val="23"/>
        </w:rPr>
        <w:t xml:space="preserve">1.  Purpose, Scope and Conventions</w:t>
      </w:r>
    </w:p>
    <w:p>
      <w:pPr>
        <w:spacing w:after="90" w:line="276"/>
        <w:jc w:val="left"/>
      </w:pPr>
      <w:r>
        <w:rPr>
          <w:rFonts w:ascii="Calibri" w:cs="Calibri" w:eastAsia="Calibri" w:hAnsi="Calibri"/>
          <w:b w:val="false"/>
          <w:bCs w:val="false"/>
          <w:i w:val="false"/>
          <w:iCs w:val="false"/>
          <w:color w:val="222222"/>
          <w:sz w:val="23"/>
          <w:szCs w:val="23"/>
        </w:rPr>
        <w:t xml:space="preserve">2.  Governing Constraints</w:t>
      </w:r>
    </w:p>
    <w:p>
      <w:pPr>
        <w:spacing w:after="90" w:line="276"/>
        <w:jc w:val="left"/>
      </w:pPr>
      <w:r>
        <w:rPr>
          <w:rFonts w:ascii="Calibri" w:cs="Calibri" w:eastAsia="Calibri" w:hAnsi="Calibri"/>
          <w:b w:val="false"/>
          <w:bCs w:val="false"/>
          <w:i w:val="false"/>
          <w:iCs w:val="false"/>
          <w:color w:val="222222"/>
          <w:sz w:val="23"/>
          <w:szCs w:val="23"/>
        </w:rPr>
        <w:t xml:space="preserve">3.  System Architecture</w:t>
      </w:r>
    </w:p>
    <w:p>
      <w:pPr>
        <w:spacing w:after="90" w:line="276"/>
        <w:jc w:val="left"/>
      </w:pPr>
      <w:r>
        <w:rPr>
          <w:rFonts w:ascii="Calibri" w:cs="Calibri" w:eastAsia="Calibri" w:hAnsi="Calibri"/>
          <w:b w:val="false"/>
          <w:bCs w:val="false"/>
          <w:i w:val="false"/>
          <w:iCs w:val="false"/>
          <w:color w:val="222222"/>
          <w:sz w:val="23"/>
          <w:szCs w:val="23"/>
        </w:rPr>
        <w:t xml:space="preserve">4.  Data Architecture: the Spine</w:t>
      </w:r>
    </w:p>
    <w:p>
      <w:pPr>
        <w:spacing w:after="90" w:line="276"/>
        <w:jc w:val="left"/>
      </w:pPr>
      <w:r>
        <w:rPr>
          <w:rFonts w:ascii="Calibri" w:cs="Calibri" w:eastAsia="Calibri" w:hAnsi="Calibri"/>
          <w:b w:val="false"/>
          <w:bCs w:val="false"/>
          <w:i w:val="false"/>
          <w:iCs w:val="false"/>
          <w:color w:val="222222"/>
          <w:sz w:val="23"/>
          <w:szCs w:val="23"/>
        </w:rPr>
        <w:t xml:space="preserve">5.  Functional Requirements by Module</w:t>
      </w:r>
    </w:p>
    <w:p>
      <w:pPr>
        <w:spacing w:after="90" w:line="276"/>
        <w:jc w:val="left"/>
      </w:pPr>
      <w:r>
        <w:rPr>
          <w:rFonts w:ascii="Calibri" w:cs="Calibri" w:eastAsia="Calibri" w:hAnsi="Calibri"/>
          <w:b w:val="false"/>
          <w:bCs w:val="false"/>
          <w:i w:val="false"/>
          <w:iCs w:val="false"/>
          <w:color w:val="222222"/>
          <w:sz w:val="23"/>
          <w:szCs w:val="23"/>
        </w:rPr>
        <w:t xml:space="preserve">6.  Non-Functional Requirements</w:t>
      </w:r>
    </w:p>
    <w:p>
      <w:pPr>
        <w:spacing w:after="90" w:line="276"/>
        <w:jc w:val="left"/>
      </w:pPr>
      <w:r>
        <w:rPr>
          <w:rFonts w:ascii="Calibri" w:cs="Calibri" w:eastAsia="Calibri" w:hAnsi="Calibri"/>
          <w:b w:val="false"/>
          <w:bCs w:val="false"/>
          <w:i w:val="false"/>
          <w:iCs w:val="false"/>
          <w:color w:val="222222"/>
          <w:sz w:val="23"/>
          <w:szCs w:val="23"/>
        </w:rPr>
        <w:t xml:space="preserve">7.  Security, Privacy and Compliance Requirements</w:t>
      </w:r>
    </w:p>
    <w:p>
      <w:pPr>
        <w:spacing w:after="90" w:line="276"/>
        <w:jc w:val="left"/>
      </w:pPr>
      <w:r>
        <w:rPr>
          <w:rFonts w:ascii="Calibri" w:cs="Calibri" w:eastAsia="Calibri" w:hAnsi="Calibri"/>
          <w:b w:val="false"/>
          <w:bCs w:val="false"/>
          <w:i w:val="false"/>
          <w:iCs w:val="false"/>
          <w:color w:val="222222"/>
          <w:sz w:val="23"/>
          <w:szCs w:val="23"/>
        </w:rPr>
        <w:t xml:space="preserve">8.  Integration Specifications</w:t>
      </w:r>
    </w:p>
    <w:p>
      <w:pPr>
        <w:spacing w:after="90" w:line="276"/>
        <w:jc w:val="left"/>
      </w:pPr>
      <w:r>
        <w:rPr>
          <w:rFonts w:ascii="Calibri" w:cs="Calibri" w:eastAsia="Calibri" w:hAnsi="Calibri"/>
          <w:b w:val="false"/>
          <w:bCs w:val="false"/>
          <w:i w:val="false"/>
          <w:iCs w:val="false"/>
          <w:color w:val="222222"/>
          <w:sz w:val="23"/>
          <w:szCs w:val="23"/>
        </w:rPr>
        <w:t xml:space="preserve">9.  Environments, Delivery and Quality</w:t>
      </w:r>
    </w:p>
    <w:p>
      <w:pPr>
        <w:spacing w:after="90" w:line="276"/>
        <w:jc w:val="left"/>
      </w:pPr>
      <w:r>
        <w:rPr>
          <w:rFonts w:ascii="Calibri" w:cs="Calibri" w:eastAsia="Calibri" w:hAnsi="Calibri"/>
          <w:b w:val="false"/>
          <w:bCs w:val="false"/>
          <w:i w:val="false"/>
          <w:iCs w:val="false"/>
          <w:color w:val="222222"/>
          <w:sz w:val="23"/>
          <w:szCs w:val="23"/>
        </w:rPr>
        <w:t xml:space="preserve">10. Out of Scope and Deferred</w:t>
      </w:r>
    </w:p>
    <w:p>
      <w:pPr>
        <w:spacing w:after="90" w:line="276"/>
        <w:jc w:val="left"/>
      </w:pPr>
      <w:r>
        <w:rPr>
          <w:rFonts w:ascii="Calibri" w:cs="Calibri" w:eastAsia="Calibri" w:hAnsi="Calibri"/>
          <w:b w:val="false"/>
          <w:bCs w:val="false"/>
          <w:i w:val="false"/>
          <w:iCs w:val="false"/>
          <w:color w:val="222222"/>
          <w:sz w:val="23"/>
          <w:szCs w:val="23"/>
        </w:rPr>
        <w:t xml:space="preserve">11. Open Technical Questions</w:t>
      </w:r>
    </w:p>
    <w:p>
      <w:pPr>
        <w:spacing w:after="90" w:line="276"/>
        <w:jc w:val="left"/>
      </w:pPr>
      <w:r>
        <w:rPr>
          <w:rFonts w:ascii="Calibri" w:cs="Calibri" w:eastAsia="Calibri" w:hAnsi="Calibri"/>
          <w:b w:val="false"/>
          <w:bCs w:val="false"/>
          <w:i w:val="false"/>
          <w:iCs w:val="false"/>
          <w:color w:val="222222"/>
          <w:sz w:val="23"/>
          <w:szCs w:val="23"/>
        </w:rPr>
        <w:t xml:space="preserve">Appendix A: Requirement-to-Gate Traceability</w:t>
      </w:r>
    </w:p>
    <w:p>
      <w:pPr>
        <w:spacing w:after="90" w:line="276"/>
        <w:jc w:val="left"/>
      </w:pPr>
      <w:r>
        <w:rPr>
          <w:rFonts w:ascii="Calibri" w:cs="Calibri" w:eastAsia="Calibri" w:hAnsi="Calibri"/>
          <w:b w:val="false"/>
          <w:bCs w:val="false"/>
          <w:i w:val="false"/>
          <w:iCs w:val="false"/>
          <w:color w:val="222222"/>
          <w:sz w:val="23"/>
          <w:szCs w:val="23"/>
        </w:rPr>
        <w:t xml:space="preserve">Appendix B: Invoice Lifecycle State Machine</w:t>
      </w:r>
    </w:p>
    <w:p>
      <w:pPr>
        <w:spacing w:after="90" w:line="276"/>
        <w:jc w:val="left"/>
      </w:pPr>
      <w:r>
        <w:rPr>
          <w:rFonts w:ascii="Calibri" w:cs="Calibri" w:eastAsia="Calibri" w:hAnsi="Calibri"/>
          <w:b w:val="false"/>
          <w:bCs w:val="false"/>
          <w:i w:val="false"/>
          <w:iCs w:val="false"/>
          <w:color w:val="222222"/>
          <w:sz w:val="23"/>
          <w:szCs w:val="23"/>
        </w:rPr>
        <w:t xml:space="preserve">Appendix C: Role-Permission Matrix</w:t>
      </w:r>
    </w:p>
    <w:p>
      <w:r>
        <w:br w:type="page"/>
      </w:r>
    </w:p>
    <w:p>
      <w:pPr>
        <w:pStyle w:val="Heading1"/>
      </w:pPr>
      <w:r>
        <w:t xml:space="preserve">1. Purpose, Scope and Conventions</w:t>
      </w:r>
    </w:p>
    <w:p>
      <w:pPr>
        <w:spacing w:after="140" w:line="276"/>
        <w:jc w:val="both"/>
      </w:pPr>
      <w:r>
        <w:rPr>
          <w:rFonts w:ascii="Calibri" w:cs="Calibri" w:eastAsia="Calibri" w:hAnsi="Calibri"/>
          <w:b w:val="false"/>
          <w:bCs w:val="false"/>
          <w:i w:val="false"/>
          <w:iCs w:val="false"/>
          <w:color w:val="222222"/>
          <w:sz w:val="22"/>
          <w:szCs w:val="22"/>
        </w:rPr>
        <w:t xml:space="preserve">This document specifies what the MeridianIQ system must do and the constraints under which it must do it. It sits third in the document stack: Business Plan v3.2 decides why and whether, Product Roadmap v1.0 decides what and when, and this TRD decides how well and under which rules. It is written for the founding engineering team and for the technical diligence of APP partners, design-partner banks and, eventually, an acquirer. Like the roadmap, it is a living document that changes on evidence, with one asymmetry inherited from governance: requirements may be tightened or cut at any time, but a requirement tagged to a gated release is not implemented before its gate passes.</w:t>
      </w:r>
    </w:p>
    <w:p>
      <w:pPr>
        <w:spacing w:after="140" w:line="276"/>
        <w:jc w:val="both"/>
      </w:pPr>
      <w:r>
        <w:rPr>
          <w:rFonts w:ascii="Calibri" w:cs="Calibri" w:eastAsia="Calibri" w:hAnsi="Calibri"/>
          <w:b w:val="false"/>
          <w:bCs w:val="false"/>
          <w:i w:val="false"/>
          <w:iCs w:val="false"/>
          <w:color w:val="222222"/>
          <w:sz w:val="22"/>
          <w:szCs w:val="22"/>
        </w:rPr>
        <w:t xml:space="preserve">Conventions. Every requirement has an identifier (module prefix plus number), a release tag (R0 to R5, mapping to Roadmap Section 6), and an acceptance criterion phrased so that a reviewer can answer yes or no. Modules use the seven-surface decomposition of the roadmap: CORE (data spine), ADV (advisory toolkit), SME (compliance app), CON (accountant console and operator tooling), BR (Buyer Rails), CR (credit layer), PL (platform and integrations); cross-cutting requirements use NFR, SEC, INT and DEV prefixes. The words must, should and may carry their usual normative force. Where a requirement depends on an unresolved counsel or partner question, it carries the marker [OPEN-n] pointing to Section 11, and its implementation is blocked until the question closes.</w:t>
      </w:r>
    </w:p>
    <w:p>
      <w:pPr>
        <w:spacing w:after="140" w:line="276"/>
        <w:jc w:val="both"/>
      </w:pPr>
      <w:r>
        <w:rPr>
          <w:rFonts w:ascii="Calibri" w:cs="Calibri" w:eastAsia="Calibri" w:hAnsi="Calibri"/>
          <w:b/>
          <w:bCs/>
          <w:i w:val="false"/>
          <w:iCs w:val="false"/>
          <w:color w:val="222222"/>
          <w:sz w:val="22"/>
          <w:szCs w:val="22"/>
        </w:rPr>
        <w:t xml:space="preserve">Revision note (v1.1, July 2026): </w:t>
      </w:r>
      <w:r>
        <w:rPr>
          <w:rFonts w:ascii="Calibri" w:cs="Calibri" w:eastAsia="Calibri" w:hAnsi="Calibri"/>
          <w:b w:val="false"/>
          <w:bCs w:val="false"/>
          <w:i w:val="false"/>
          <w:iCs w:val="false"/>
          <w:color w:val="222222"/>
          <w:sz w:val="22"/>
          <w:szCs w:val="22"/>
        </w:rPr>
        <w:t xml:space="preserve">incorporates an external build review. Material changes: append-only immutability clarified to begin at submission with drafts as mutable working state (CORE-02); offline scope reduced to draft capture in R1 (NFR-05); a messaging data boundary added (SEC-12); the fraud layer restated rules-first (CR-02); the bank data room upgraded beyond k-anonymity (CR-04); party-integrity and financing-grade KYB requirements added (CORE-08, CR-09); corrections, cancellations and credit notes made first-class lifecycle events with a post-funding exception path (CORE-09); submission reliability mechanics specified (INT-09); a follow-on specification set named as R0-R1 engineering deliverables (Section 9); and two new appendices: the invoice lifecycle state machine and the role-permission matrix.</w:t>
      </w:r>
    </w:p>
    <w:p>
      <w:pPr>
        <w:pStyle w:val="Heading1"/>
      </w:pPr>
      <w:r>
        <w:t xml:space="preserve">2. Governing Constraints</w:t>
      </w:r>
    </w:p>
    <w:p>
      <w:pPr>
        <w:spacing w:after="140" w:line="276"/>
        <w:jc w:val="both"/>
      </w:pPr>
      <w:r>
        <w:rPr>
          <w:rFonts w:ascii="Calibri" w:cs="Calibri" w:eastAsia="Calibri" w:hAnsi="Calibri"/>
          <w:b w:val="false"/>
          <w:bCs w:val="false"/>
          <w:i w:val="false"/>
          <w:iCs w:val="false"/>
          <w:color w:val="222222"/>
          <w:sz w:val="22"/>
          <w:szCs w:val="22"/>
        </w:rPr>
        <w:t xml:space="preserve">Every design decision in this document descends from constraints the company does not control. They are stated once, here, and referenced by number throughout.</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964"/>
        <w:gridCol w:w="4819"/>
        <w:gridCol w:w="3855"/>
      </w:tblGrid>
      <w:tr>
        <w:trPr>
          <w:tblHeader/>
        </w:trPr>
        <w:tc>
          <w:tcPr>
            <w:tcW w:type="dxa" w:w="96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Ref</w:t>
            </w:r>
          </w:p>
        </w:tc>
        <w:tc>
          <w:tcPr>
            <w:tcW w:type="dxa" w:w="4819"/>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Constraint</w:t>
            </w:r>
          </w:p>
        </w:tc>
        <w:tc>
          <w:tcPr>
            <w:tcW w:type="dxa" w:w="3855"/>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Design consequence</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C1</w:t>
            </w:r>
          </w:p>
        </w:tc>
        <w:tc>
          <w:tcPr>
            <w:tcW w:type="dxa" w:w="481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Pre-clearance model: B2B and B2G invoices must be validated by the national MBS platform before reaching the buyer; validated invoices carry an IRN, a CSID and a QR code, with issuance measured in hours, not seconds.</w:t>
            </w:r>
          </w:p>
        </w:tc>
        <w:tc>
          <w:tcPr>
            <w:tcW w:type="dxa" w:w="385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submission pipeline is asynchronous end to end; no user flow may assume synchronous stamping; every surface renders explicit pending, stamped and failed states.</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C2</w:t>
            </w:r>
          </w:p>
        </w:tc>
        <w:tc>
          <w:tcPr>
            <w:tcW w:type="dxa" w:w="481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Peppol BIS Billing 3.0 / UBL structure with a large mandatory field set; XML or JSON submission; signature standards in the XAdES and PAdES families for signed documents.</w:t>
            </w:r>
          </w:p>
        </w:tc>
        <w:tc>
          <w:tcPr>
            <w:tcW w:type="dxa" w:w="385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single canonical invoice model with a UBL serializer and field-level validation before submission; signing is a platform service, never re-implemented per feature.</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C3</w:t>
            </w:r>
          </w:p>
        </w:tc>
        <w:tc>
          <w:tcPr>
            <w:tcW w:type="dxa" w:w="481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Transmission to the authority runs through accredited Access Point Providers; MeridianIQ launches as a System Integrator on partner rails, with its own SI licence filed and an own-APP rail later.</w:t>
            </w:r>
          </w:p>
        </w:tc>
        <w:tc>
          <w:tcPr>
            <w:tcW w:type="dxa" w:w="385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All rail access sits behind one adapter interface (INT-01); dual rails from day one; the own rail must slot behind the same interface without product change.</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C4</w:t>
            </w:r>
          </w:p>
        </w:tc>
        <w:tc>
          <w:tcPr>
            <w:tcW w:type="dxa" w:w="481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NITDA duties on integrators: secure transmission, digital-certificate lifecycle management, cryptographic key handling, validation monitoring, immutable audit logging, and encrypted records, logs and invoice data stored or backed up on servers or data centres located in Nigeria.</w:t>
            </w:r>
          </w:p>
        </w:tc>
        <w:tc>
          <w:tcPr>
            <w:tcW w:type="dxa" w:w="385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Nigeria-resident primary storage and backups (SEC-08); a first-class certificate and key-management service (SEC-04); an append-only, tamper-evident audit log (CORE-05).</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C5</w:t>
            </w:r>
          </w:p>
        </w:tc>
        <w:tc>
          <w:tcPr>
            <w:tcW w:type="dxa" w:w="481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B2C transactions above NGN 50,000 must be reported within 24 hours, with daily penalties for late reporting.</w:t>
            </w:r>
          </w:p>
        </w:tc>
        <w:tc>
          <w:tcPr>
            <w:tcW w:type="dxa" w:w="385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scheduled reporting job with its own alerting and a per-client compliance clock (SME-08).</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C6</w:t>
            </w:r>
          </w:p>
        </w:tc>
        <w:tc>
          <w:tcPr>
            <w:tcW w:type="dxa" w:w="481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Nigeria Data Protection Act: registration, a data protection officer, and the three-layer consent architecture of Plan Section 7.2, with credit use only by explicit consent.</w:t>
            </w:r>
          </w:p>
        </w:tc>
        <w:tc>
          <w:tcPr>
            <w:tcW w:type="dxa" w:w="385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consent ledger with per-record lineage (CORE-03); layer-three features ship dark and activate per client on recorded consent.</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C7</w:t>
            </w:r>
          </w:p>
        </w:tc>
        <w:tc>
          <w:tcPr>
            <w:tcW w:type="dxa" w:w="481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company never lends, holds or routes client funds; repayment in financing runs through a bank-owned collection account.</w:t>
            </w:r>
          </w:p>
        </w:tc>
        <w:tc>
          <w:tcPr>
            <w:tcW w:type="dxa" w:w="385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 payment execution capability anywhere in the system; financing surfaces are data, workflow and instruction only (CR module boundary).</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C8</w:t>
            </w:r>
          </w:p>
        </w:tc>
        <w:tc>
          <w:tcPr>
            <w:tcW w:type="dxa" w:w="481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Operating reality: low and intermittent bandwidth, power instability, mobile-first users, WhatsApp and SMS as primary urgent channels, a five-person launch team.</w:t>
            </w:r>
          </w:p>
        </w:tc>
        <w:tc>
          <w:tcPr>
            <w:tcW w:type="dxa" w:w="385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Progressive web application with capture-then-sync; alert delivery is channel-redundant; the architecture is a modular monolith sized for a small team, not a microservice estate.</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C9</w:t>
            </w:r>
          </w:p>
        </w:tc>
        <w:tc>
          <w:tcPr>
            <w:tcW w:type="dxa" w:w="481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Volume envelope from the plan base case: about 7,000 subscribed businesses and NGN 52 billion of facilitated volume by year five; invoice throughput on the order of tens of thousands per day at peak, not millions.</w:t>
            </w:r>
          </w:p>
        </w:tc>
        <w:tc>
          <w:tcPr>
            <w:tcW w:type="dxa" w:w="385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Design targets in Section 6 are set at 5x the base case, and no exotic scale technology is justified before R5.</w:t>
            </w:r>
          </w:p>
        </w:tc>
      </w:tr>
    </w:tbl>
    <w:p>
      <w:pPr>
        <w:spacing w:after="120"/>
      </w:pPr>
    </w:p>
    <w:p>
      <w:pPr>
        <w:pStyle w:val="Heading1"/>
      </w:pPr>
      <w:r>
        <w:t xml:space="preserve">3. System Architecture</w:t>
      </w:r>
    </w:p>
    <w:p>
      <w:pPr>
        <w:spacing w:after="140" w:line="276"/>
        <w:jc w:val="both"/>
      </w:pPr>
      <w:r>
        <w:rPr>
          <w:rFonts w:ascii="Calibri" w:cs="Calibri" w:eastAsia="Calibri" w:hAnsi="Calibri"/>
          <w:b w:val="false"/>
          <w:bCs w:val="false"/>
          <w:i w:val="false"/>
          <w:iCs w:val="false"/>
          <w:color w:val="222222"/>
          <w:sz w:val="22"/>
          <w:szCs w:val="22"/>
        </w:rPr>
        <w:t xml:space="preserve">The system is a multi-tenant modular monolith with an asynchronous submission core, deployed on Nigeria-resident infrastructure, decomposed internally along the seven surfaces and exposed through three applications: the SME progressive web app, the Accountant Console (which also hosts operator tooling and, later, the Bank Workbench as a separate role space), and a small public site carrying the penalty calculator and deadline content. A modular monolith is a requirement, not a compromise: with a founding team of two engineers, service sprawl is the fastest way to miss the small-wave date, so module boundaries are enforced in code (one process, hard internal interfaces, one database with schema-per-module ownership) and any future extraction follows the seams already drawn.</w:t>
      </w:r>
    </w:p>
    <w:p>
      <w:pPr>
        <w:spacing w:after="140" w:line="276"/>
        <w:jc w:val="both"/>
      </w:pPr>
      <w:r>
        <w:rPr>
          <w:rFonts w:ascii="Calibri" w:cs="Calibri" w:eastAsia="Calibri" w:hAnsi="Calibri"/>
          <w:b w:val="false"/>
          <w:bCs w:val="false"/>
          <w:i w:val="false"/>
          <w:iCs w:val="false"/>
          <w:color w:val="222222"/>
          <w:sz w:val="22"/>
          <w:szCs w:val="22"/>
        </w:rPr>
        <w:t xml:space="preserve">The write path that matters is the invoice lifecycle: capture or import produces a canonical invoice; validation runs the full mandatory-field rule set locally; submission enqueues to a per-rail worker pool through the APP adapter with idempotency keys; stamp results (IRN, CSID, QR) append to the invoice record and land the signed artifact in the vault; failures map to the error catalogue and surface as guided resolutions; confirmations, settlement events and, later, financing events append to the same record. Nothing in the lifecycle is ever updated in place: state transitions append, which is what makes the audit log, the fraud back-tests and the bank data room honest by construction. Read models for dashboards and the console are projections and may be rebuilt at any time.</w:t>
      </w:r>
    </w:p>
    <w:p>
      <w:pPr>
        <w:pBdr>
          <w:top w:val="single" w:color="DDE7E4" w:sz="2" w:space="4"/>
          <w:bottom w:val="single" w:color="DDE7E4" w:sz="2" w:space="4"/>
          <w:left w:val="single" w:color="C9A227" w:sz="24" w:space="8"/>
          <w:right w:val="single" w:color="DDE7E4" w:sz="2" w:space="4"/>
        </w:pBdr>
        <w:shd w:fill="F2F6F5" w:color="auto" w:val="clear"/>
        <w:spacing w:after="200" w:before="160" w:line="276"/>
        <w:ind w:left="120" w:right="120"/>
        <w:jc w:val="left"/>
      </w:pPr>
      <w:r>
        <w:rPr>
          <w:rFonts w:ascii="Calibri" w:cs="Calibri" w:eastAsia="Calibri" w:hAnsi="Calibri"/>
          <w:b/>
          <w:bCs/>
          <w:i w:val="false"/>
          <w:iCs w:val="false"/>
          <w:color w:val="0A3833"/>
          <w:sz w:val="22"/>
          <w:szCs w:val="22"/>
        </w:rPr>
        <w:t xml:space="preserve">Architecture in one sentence: </w:t>
      </w:r>
      <w:r>
        <w:rPr>
          <w:rFonts w:ascii="Calibri" w:cs="Calibri" w:eastAsia="Calibri" w:hAnsi="Calibri"/>
          <w:b w:val="false"/>
          <w:bCs w:val="false"/>
          <w:i w:val="false"/>
          <w:iCs w:val="false"/>
          <w:color w:val="333333"/>
          <w:sz w:val="22"/>
          <w:szCs w:val="22"/>
        </w:rPr>
        <w:t xml:space="preserve">an append-only invoice ledger with a validation brain in front, dual transmission rails behind an adapter, and every other feature a projection of, or an annotation on, that ledger.</w:t>
      </w:r>
    </w:p>
    <w:p>
      <w:pPr>
        <w:pStyle w:val="Heading1"/>
      </w:pPr>
      <w:r>
        <w:t xml:space="preserve">4. Data Architecture: the Spine</w:t>
      </w:r>
    </w:p>
    <w:p>
      <w:pPr>
        <w:spacing w:after="140" w:line="276"/>
        <w:jc w:val="both"/>
      </w:pPr>
      <w:r>
        <w:rPr>
          <w:rFonts w:ascii="Calibri" w:cs="Calibri" w:eastAsia="Calibri" w:hAnsi="Calibri"/>
          <w:b w:val="false"/>
          <w:bCs w:val="false"/>
          <w:i w:val="false"/>
          <w:iCs w:val="false"/>
          <w:color w:val="222222"/>
          <w:sz w:val="22"/>
          <w:szCs w:val="22"/>
        </w:rPr>
        <w:t xml:space="preserve">The spine is one schema serving two products. Its core entities: Party (any legal person: client business, buyer, firm, bank; keyed by TIN where one exists); Firm and User with role bindings; Engagement (an advisory unit of work, so that services data lands in the same spine from R0); Invoice and InvoiceLine in canonical form; SubmissionAttempt (per rail, per try, with request and response payloads retained); StampRecord (IRN, CSID, QR payload, signed artifact reference); Confirmation (buyer identity, method, no-set-off flag, timestamp); SettlementEvent (source-tagged per the mandatory-source hierarchy: statement match, buyer flag, collection-account feed, uploaded evidence); ConsentRecord (layer, scope, basis, grant and revocation events); and, dormant until R3, EligibilityAssessment, FinancingRequest, FacilityPosition and RepaymentEvent. AuditEvent spans everything.</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301"/>
        <w:gridCol w:w="1446"/>
        <w:gridCol w:w="1734"/>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30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44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173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canonical invoice model must represent the full mandatory field set of C2 and serialize losslessly to compliant UBL XML and JSON.</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Golden-file round-trip tests pass for every field; a sandbox submission of a serialized invoice is accepted.</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Lifecycle immutability begins at submission: submission attempts, stamp records, signed artifacts, confirmations, settlement events and financing decisions append and are never destructively updated through any code path. Pre-submission drafts are ordinary mutable working state; the practical shape is immutable events plus current-state tables plus write-once vault artifacts, not doctrinaire event-sourcing of every field.</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Attempted mutation of any post-submission lifecycle record fails at the persistence layer in tests; historical post-submission state is reconstructable at any timestamp.</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CORE-03</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consent ledger must record, per Party and per layer, the scope, legal basis, grant time, channel and any revocation, and must answer in one query whether a given processing purpose is permitted for a given record right now.</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permission query is exercised by every layer-three code path; revocation takes effect in under one minute.</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CORE-04</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stamp-verification service must confirm any IRN and CSID against the national system through an available rail and cache results with a declared freshness window.</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Verification of a known-good and a known-bad stamp returns correct results in sandbox; freshness window is configurable.</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CORE-05</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audit log must be append-only and tamper-evident (hash-chained), must capture actor, action, entity, before-state reference and timestamp for every material event, and must be exportable for a regulator, a bank or an acquirer.</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Deleting or altering a log row breaks chain verification in tests; export produces a verifiable bundle.</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CORE-06</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Schema changes must ship with forward migrations and a tested rollback, and the spine schema is versioned so that every stored record declares the version that wrote it.</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CI blocks merge without a migration test; a v-n record remains readable after two subsequent versions.</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CORE-07</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Retention: stamped invoices, signed artifacts and audit events must be retained for a minimum of 24 months per guideline and a MeridianIQ standard of seven years, on Nigeria-resident storage, with legal-hold override.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Retention policies are enforced by storage lifecycle rules and verified by audit.</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CORE-08</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Party integrity: TIN format validation and verification against available registries at onboarding, CAC company-number capture, and a counterparty merge/split workflow so duplicate buyer and supplier records can be resolved without breaking history. Without this the fraud layer has no reliable raw material.</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Duplicate parties merge with full audit lineage; a party without a validated TIN cannot enter the confirmation workflow.</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CORE-09</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Corrections, cancellations and credit notes are first-class lifecycle events: post-stamp corrections follow the platform-supported cancellation or credit-note flows and propagate to vault and reconciliation; once financing exists, a funded invoice subsequently cancelled or credited raises a mandatory exception with recourse per the legal pack; cancellation and credit-note rates feed the fraud rules.</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 lifecycle; R4 exception path</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cancelled stamped invoice cannot be presented as eligible; a post-funding credit note lands in the exception queue within one processing cycle.</w:t>
            </w:r>
          </w:p>
        </w:tc>
      </w:tr>
    </w:tbl>
    <w:p>
      <w:pPr>
        <w:spacing w:after="120"/>
      </w:pPr>
    </w:p>
    <w:p>
      <w:r>
        <w:br w:type="page"/>
      </w:r>
    </w:p>
    <w:p>
      <w:pPr>
        <w:pStyle w:val="Heading1"/>
      </w:pPr>
      <w:r>
        <w:t xml:space="preserve">5. Functional Requirements by Module</w:t>
      </w:r>
    </w:p>
    <w:p>
      <w:pPr>
        <w:pStyle w:val="Heading2"/>
      </w:pPr>
      <w:r>
        <w:t xml:space="preserve">5.1 ADV — Advisory Toolkit (the R0 field kit)</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301"/>
        <w:gridCol w:w="1446"/>
        <w:gridCol w:w="1734"/>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30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44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173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ADV-01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readiness-assessment kit must generate a client gap report and remediation plan from a structured questionnaire, and every completed assessment must write findings to the spine as Engagement data.</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An assessment completes end to end in under a consultant-day; its findings are queryable in the spine.</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ADV-02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VAT-risk check engine must ingest a buyer supplier ledger (CSV or spreadsheet), verify stamp status per invoice via CORE-04, compute input-VAT at risk, and output an exposure report plus a buyer-supplier graph.</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1,000-row ledger processes in under ten minutes with a per-row status and a total exposure figure a reviewer can recompute.</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ADV-03</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validation-error catalogue must map every observed MBS rejection code or message to a plain-language cause and fix, and must be updatable by operators within one working day of a new failure appearing.</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80 percent of failures met in engagements resolve using catalogue guidance without engineering involvement.</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ADV-04</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public penalty calculator must compute s.103 and s.104 exposure from turnover and non-compliance inputs, must collect no personal data beyond an optional contact, and must load acceptably on a 3G connection.</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Page weight under 500KB; outputs match a hand-calculated fixture set.</w:t>
            </w:r>
          </w:p>
        </w:tc>
      </w:tr>
    </w:tbl>
    <w:p>
      <w:pPr>
        <w:spacing w:after="120"/>
      </w:pPr>
    </w:p>
    <w:p>
      <w:pPr>
        <w:pStyle w:val="Heading2"/>
      </w:pPr>
      <w:r>
        <w:t xml:space="preserve">5.2 SME — Compliance App</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301"/>
        <w:gridCol w:w="1446"/>
        <w:gridCol w:w="1734"/>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30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44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173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SME-01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Guided invoice creation must validate the full mandatory field set client-side before submission is offered, with field-level Nigerian-English guidance drawn from the catalogue.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An invoice failing any mandatory rule cannot be submitted; error text names the field and the fix.</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SME-02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Bulk import must accept the published Excel and CSV templates and common package exports, map to the canonical model, and report per-row validation results before any submission.</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5,000-row import completes with a downloadable per-row result file; no partial silent failures.</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SME-03</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submission pipeline must be asynchronous with idempotency keys, automatic retry with backoff on transient failures, duplicate detection, and rail failover per INT-01.</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Replaying a submission request cannot create a duplicate stamp; a simulated rail outage completes submissions on the second rail.</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SME-04</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vault must store the stamped artifact (signed XML and a rendered PDF carrying the QR) immutably, searchable by counterparty, period, amount and status.</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Vault objects are write-once (object-lock verified); any stamped invoice is retrievable in under three seconds.</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SME-05</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Deadline and penalty alerts must deliver over WhatsApp, SMS and email with per-client channel preference, and urgent alerts must not depend on the user opening the app.</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test alert reaches all three channels; delivery status is recorded per message.</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SME-06</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Guided failure resolution must translate any submission failure into catalogue guidance, and unresolved failures must escalate to the operator queue with full context.</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80 percent of failures self-resolve; escalations carry payloads without re-entry.</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SME-07</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Reconciliation v1 must ingest bank-statement files, propose matches against stamped invoices with confidence scores, and record accepted matches as SettlementEvents with source tags.</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On a fixture book, 85 percent of true matches are proposed; every accepted match is source-tagged.</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SME-08</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B2C reporting module must batch and report qualifying transactions within the 24-hour window, with a per-client compliance clock and pre-breach alerts.</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simulated day of B2C sales reports inside the window; an at-risk clock alerts at least four hours before breach.</w:t>
            </w:r>
          </w:p>
        </w:tc>
      </w:tr>
    </w:tbl>
    <w:p>
      <w:pPr>
        <w:spacing w:after="120"/>
      </w:pPr>
    </w:p>
    <w:p>
      <w:pPr>
        <w:pStyle w:val="Heading2"/>
      </w:pPr>
      <w:r>
        <w:t xml:space="preserve">5.3 CON — Accountant Console and Operator Tooling</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301"/>
        <w:gridCol w:w="1446"/>
        <w:gridCol w:w="1734"/>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30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44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173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CON-01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Multi-tenancy must isolate firms and their clients at the data layer, with roles for firm admin, firm staff, client user, MeridianIQ operator and read-only auditor, all actions audit-logged.</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cross-tenant access attempt fails in automated tests; role capabilities match the documented matrix.</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CON-02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portfolio dashboard must flag penalty risk per client (unsubmitted volume, failure backlog, deadline proximity) and support drill-down to the invoice level.</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Risk flags recompute within five minutes of state change; a partner can reach any failing invoice in three clicks.</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CON-03</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unearned-income view must show each firm its unconverted eligible clients and the revenue share implied at current tiers.</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Figures reconcile with the billing module to the naira.</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CON-04</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Operator tooling must present a cross-tenant work queue with playbook prompts and one-click catalogue resolutions, tracking handling time per case.</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One operator sustainably services 40 Desk clients at target service levels.</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CON-05</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White-label theming must support firm branding and subdomains without per-firm deployments; bulk client import must accept practice-management exports.</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new firm is themed and live in under one day; a 200-client import lands in one session.</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CON-06</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Revenue-share and, later, origination-share statements must generate automatically per firm per month, reconciled to billing and to the financing ledger.</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 share; R4 origination</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Statement totals match ledger queries; disputes are answerable from the audit log.</w:t>
            </w:r>
          </w:p>
        </w:tc>
      </w:tr>
    </w:tbl>
    <w:p>
      <w:pPr>
        <w:spacing w:after="120"/>
      </w:pPr>
    </w:p>
    <w:p>
      <w:pPr>
        <w:pStyle w:val="Heading2"/>
      </w:pPr>
      <w:r>
        <w:t xml:space="preserve">5.4 BR — Buyer Rails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301"/>
        <w:gridCol w:w="1446"/>
        <w:gridCol w:w="1734"/>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30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44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173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BR-01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Supplier verification must let a buyer check any supplier invoice or supplier list for valid stamps (via CORE-04) and see input-VAT exposure, continuously for onboarded buyers.</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buyer sees exposure across its supplier base refreshed at least daily.</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BR-02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confirmation workflow must move an invoice through requested, confirmed, queried and rejected states, capture the confirming user and method, and optionally capture a no-set-off acknowledgment; every confirmation writes once to the spine and serves both VAT protection and financeability.</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confirmation recorded in a buyer workflow is immediately visible on the supplier record with full lineage.</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BR-03</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Assignment-notice acceptance must present the counsel-templated notice to the buyer, capture acceptance with strong attribution (per [OPEN-1] on execution method), and store the executed pack against the invoice.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R4 (piloted manually in D11)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funded invoice always has a complete, retrievable legal pack; an incomplete pack blocks funding at the eligibility engine.</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BR-04</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Payment-status flags must let buyer users mark scheduled and paid states, writing SettlementEvents with the buyer-flag source tag.</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Flags appear in supplier reconciliation views within one minute.</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BR-05</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supplier compliance scoreboard must rank a buyer’s suppliers by compliance and confirmation status, exportable for procurement use.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Scoreboard matches underlying records on spot audit.</w:t>
            </w:r>
          </w:p>
        </w:tc>
      </w:tr>
    </w:tbl>
    <w:p>
      <w:pPr>
        <w:spacing w:after="120"/>
      </w:pPr>
    </w:p>
    <w:p>
      <w:pPr>
        <w:pStyle w:val="Heading2"/>
      </w:pPr>
      <w:r>
        <w:t xml:space="preserve">5.5 CR — Credit Layer (dark until its gates)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301"/>
        <w:gridCol w:w="1446"/>
        <w:gridCol w:w="1734"/>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30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44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173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eligibility engine must implement the mandatory-source rule as code: an invoice qualifies only if stamped and verified, buyer-confirmed, and settlement-observable via statement match, buyer flag or collection-account feed; uploaded evidence alone must not qualify; concentration, buyer-tier and per-supplier caps apply.</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R3</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Property tests demonstrate no path to eligibility that bypasses any condition; cap breaches are impossible to approve.</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fraud layer is rules-first: conservative eligibility rules, related-party heuristics, circular-invoicing detection over the counterparty graph, volume-anomaly flags, concentration limits and mandatory manual review, with bank-agreed exclusion lists. Graph and rule checks are back-tested structurally on the corpus before any facility opens; statistical performance reporting (precision and recall) is deferred until sufficient confirmed loss outcomes exist to make it meaningful.</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R3</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Every eligible invoice passes the full rule set; the structural back-test report exists with thresholds agreed in the bank spec; no statistical performance claims are made to funders before outcome data supports them.</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CR-03</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Scorecard v0 must compute only from spine data, with every feature traceable to source records, and must be versioned so any past decision can be replayed.</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R3</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sampled decision replays to the same output under its recorded version.</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CR-04</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bank data room is a compliance product in itself: anonymized portfolio and cohort views enforce minimum cohort thresholds, outlier suppression, date bucketing and amount banding in addition to k-anonymity; every access is logged per bank user; raw exports are disabled until layer-three consent and an executed bank data-processing agreement cover them.</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R3</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privacy review confirms no re-identification path in exported views; access logs reconstruct any data-room session end to end.</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CR-05</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Bank Workbench must provide facility configuration, a per-invoice approval queue, exposure and concentration dashboards, exception handling, and loss and fraud performance against the agreed specification, all read-write actions audit-logged and role-restricted to bank users.</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R4</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bank user can approve, decline and monitor without MeridianIQ staff mediation; kill-check thresholds render on the dashboard.</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CR-06</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early-payment request flow must show a supplier eligibility, indicative pricing and status transparently, with stated reasons on any rejection, and must never present terms outside the bank-approved envelope.</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R4</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Every rejection carries a machine-readable reason; displayed pricing always matches facility configuration.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CR-07</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Collection-account ingestion must consume the agreed bank feed, match repayments to funded invoices, and raise exceptions for shortfalls, direct payments and disputes per the rail rules of Roadmap R4.</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R4</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fixture month of feed data reconciles with zero unexplained breaks.</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CR-08</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origination-share ledger must attribute each funded invoice to its originating firm and compute shares per the commercial schedule, feeding CON-06 statements.</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R4</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Ledger totals reconcile to facilitation revenue to the naira.</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CR-09</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Financing-grade KYB: before any party participates in financing — beneficial-owner capture where available, bank-account ownership verification for the funded supplier, and sanctions, PEP and adverse-media screening to the funding bank’s standard; related-party heuristics consume this data.</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R3-R4</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 financing request reaches the Bank Workbench without a completed KYB record; screening results attach to the eligibility assessment.</w:t>
            </w:r>
          </w:p>
        </w:tc>
      </w:tr>
    </w:tbl>
    <w:p>
      <w:pPr>
        <w:spacing w:after="120"/>
      </w:pPr>
    </w:p>
    <w:p>
      <w:pPr>
        <w:pStyle w:val="Heading2"/>
      </w:pPr>
      <w:r>
        <w:t xml:space="preserve">5.6 PL — Platform and Integrations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301"/>
        <w:gridCol w:w="1446"/>
        <w:gridCol w:w="1734"/>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30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44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173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PL-01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Billing and tiering must implement the four tiers, firm revenue share, invoice-volume overages and semi-annual price-review parameters without code change.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price review is a configuration change with an audit entry, not a deployment.</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PL-02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Feature flags must gate every release-tagged capability, including the integration-line toggle tied to Deliverable 1A status and the dormant layer-three consent surfaces.</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Flag states are environment-visible and audit-logged; a gated feature is unreachable when dark.</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PL-03</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ERP connectors must implement a single connector contract (pull of AR invoices and statuses, field-mapping layer, per-connector test fixtures); the first two targets are chosen from R0 engagement evidence.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new connector reaches production using only the contract and fixtures, without core changes.</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PL-04</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Messaging must abstract WhatsApp, SMS and email providers behind one interface with delivery tracking and provider failover.</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Provider swap is configuration; delivery status is queryable per message.</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PL-05</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public site (calculator, deadline content) must be static-first, cacheable and independent of the application’s availability.</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Application downtime does not affect the public site.</w:t>
            </w:r>
          </w:p>
        </w:tc>
      </w:tr>
    </w:tbl>
    <w:p>
      <w:pPr>
        <w:spacing w:after="120"/>
      </w:pPr>
    </w:p>
    <w:p>
      <w:r>
        <w:br w:type="page"/>
      </w:r>
    </w:p>
    <w:p>
      <w:pPr>
        <w:pStyle w:val="Heading1"/>
      </w:pPr>
      <w:r>
        <w:t xml:space="preserve">6. Non-Functional Requirements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301"/>
        <w:gridCol w:w="1446"/>
        <w:gridCol w:w="1734"/>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30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44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173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NFR-01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Availability: 99.5 percent monthly for application surfaces from R1, rising to 99.9 percent for submission and financing paths from R4; planned maintenance in off-peak windows with notice.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R1/R4</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Uptime is measured externally and reported to partner firms monthly.</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NFR-02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Submission latency: enqueue acknowledged in under two seconds at p95; stamp status propagates to all views within one minute of rail callback or poll.</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Load test at 5x base-case daily volume meets targets.</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NFR-03</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Throughput headroom: the pipeline must sustain 50,000 invoice submissions per day and 5,000-row imports without degradation, roughly five times the year-five base case.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Sustained load test passes at target with p95 within NFR-02.</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NFR-04</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Durability and recovery: RPO of 15 minutes or better and RTO of 4 hours for R1 surfaces; RPO 5 minutes and RTO 1 hour for financing paths from R4; backups Nigeria-resident per C4.</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R1/R4</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restore drill each quarter meets the targets and is minuted.</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NFR-05</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Low-bandwidth operation: core SME flows usable on a 3G connection. In R1 the PWA supports offline draft capture only, with validation and submission requiring connectivity; richer offline sync ships in R2 only on field evidence of need.</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Field test on throttled connection completes capture-to-submission; offline drafts never silently drop.</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NFR-06</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Accessibility and language: Nigerian-English microcopy throughout, naira and WAT formatting, and readable rendering on low-end Android devices.</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Usability check with pilot-firm staff on representative devices passes.</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NFR-07</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Cost hygiene: unit infrastructure cost per subscribed business is tracked monthly against the plan’s margin assumptions, with alerts on adverse trend.</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monthly cost-per-client figure exists and is reviewed.</w:t>
            </w:r>
          </w:p>
        </w:tc>
      </w:tr>
    </w:tbl>
    <w:p>
      <w:pPr>
        <w:spacing w:after="120"/>
      </w:pPr>
    </w:p>
    <w:p>
      <w:pPr>
        <w:pStyle w:val="Heading1"/>
      </w:pPr>
      <w:r>
        <w:t xml:space="preserve">7. Security, Privacy and Compliance Requirements</w:t>
      </w:r>
    </w:p>
    <w:p>
      <w:pPr>
        <w:spacing w:after="140" w:line="276"/>
        <w:jc w:val="both"/>
      </w:pPr>
      <w:r>
        <w:rPr>
          <w:rFonts w:ascii="Calibri" w:cs="Calibri" w:eastAsia="Calibri" w:hAnsi="Calibri"/>
          <w:b w:val="false"/>
          <w:bCs w:val="false"/>
          <w:i w:val="false"/>
          <w:iCs w:val="false"/>
          <w:color w:val="222222"/>
          <w:sz w:val="22"/>
          <w:szCs w:val="22"/>
        </w:rPr>
        <w:t xml:space="preserve">This section spends the named security envelope of Plan Section 12.1. Its posture: the dataset is a regulated asset, the NITDA duties of C4 are product requirements, and a bank compliance function is a future auditor of everything below.</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301"/>
        <w:gridCol w:w="1446"/>
        <w:gridCol w:w="1734"/>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30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44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173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SEC-01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Encryption everywhere: TLS 1.2 or better in transit; AES-256 or equivalent at rest for databases, object storage and backups.</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Configuration is verified by external test; unencrypted storage paths do not exist.</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SEC-02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Identity and access: SSO-capable staff identity, mandatory MFA for all staff and firm-admin roles, least-privilege service accounts, quarterly access review.</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Access-review minutes exist; a terminated account loses access within one hour.</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SEC-03</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Tenant isolation must be enforced in the data layer (row-level policies keyed to tenant), not only in application code.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Injection-style cross-tenant tests fail safely at the database.</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SEC-04</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key and certificate management service must hold signing keys and digital certificates in an HSM-backed or KMS-backed store, manage issuance and renewal before expiry per C4, and log every use.</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 private key exists outside the KMS boundary; a certificate within 30 days of expiry raises an alert.</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SEC-05</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Signing: XAdES for XML artifacts and PAdES for PDF artifacts where signed outputs are required, implemented as one platform service.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Signed fixtures validate in independent verifiers.</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SEC-06</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NDPA program: registration, an appointed data protection officer, records of processing, and a data protection impact assessment completed before any layer-three (credit) processing activates.</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 program; DPIA before R3</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DPIA sign-off is a blocking gate on CR module activation.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SEC-07</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Consent enforcement: every code path touching client transaction data for a purpose beyond layer one must call the CORE-03 permission query; violations must be impossible to merge (lint-enforced) and detectable at runtime.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Static checks block unannotated data access; a runtime canary alerts on policy misses.</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SEC-08</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Data residency: primary data stores and backups on infrastructure located in Nigeria (in-country cloud regions or Tier III-class colocation), with any out-of-country processing prohibited for records within C4 scope.</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An infrastructure inventory demonstrates residency; DR restores occur in-country.</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SEC-09</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Vulnerability management: dependency scanning in CI, monthly patch cadence, and an external penetration test at least annually and before R4 go-live.</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Findings above agreed severity are closed within stated windows; the pre-R4 test report exists.</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SEC-10</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Incident response: a written runbook; a client penalized or a funder misled through a MeridianIQ defect is severity zero, triggering a post-mortem shared with affected partner firms.</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tabletop exercise runs twice yearly; sev-zero criteria appear in the on-call documentation.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SEC-11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Third-party risk: data-processing agreements with APP rails, messaging providers and hosting vendors; sub-processor list published to firms.</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Every production data flow to a third party has an executed agreement on file.</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SEC-12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Messaging data boundary: outbound WhatsApp, SMS and email must never carry invoice data or personal data beyond the recipient name — no amounts, counterparties, TINs, or documents. Alerts are pointers (for example: three failed invoices to review) linking into the authenticated application.</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template lint blocks disallowed fields; a message audit shows zero data-bearing alerts in production.</w:t>
            </w:r>
          </w:p>
        </w:tc>
      </w:tr>
    </w:tbl>
    <w:p>
      <w:pPr>
        <w:spacing w:after="120"/>
      </w:pPr>
    </w:p>
    <w:p>
      <w:r>
        <w:br w:type="page"/>
      </w:r>
    </w:p>
    <w:p>
      <w:pPr>
        <w:pStyle w:val="Heading1"/>
      </w:pPr>
      <w:r>
        <w:t xml:space="preserve">8. Integration Specifications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301"/>
        <w:gridCol w:w="1446"/>
        <w:gridCol w:w="1734"/>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ID</w:t>
            </w:r>
          </w:p>
        </w:tc>
        <w:tc>
          <w:tcPr>
            <w:tcW w:type="dxa" w:w="530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w:t>
            </w:r>
          </w:p>
        </w:tc>
        <w:tc>
          <w:tcPr>
            <w:tcW w:type="dxa" w:w="144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173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Acceptance criterion</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INT-01</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APP adapter contract must expose submitInvoice, getStatus, verifyStamp and cancelWhereSupported behind one interface, with per-rail circuit breakers, health scoring, webhook ingestion where a rail offers it and polling fallback where it does not [OPEN-2]; failover between rails must be automatic and idempotent.</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 contract; R1 dual-rail</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Contract tests pass against both partner sandboxes; a forced rail failure completes submissions on the alternate rail with no duplicates.</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INT-02</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Error normalization: every rail and MBS failure must map to a catalogue entry with a stable internal code; unmapped errors alert operators and enter the catalogue within one working day.</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unmapped-error rate trends to under 2 percent of failures.</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INT-03</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own-APP rail, when accreditation completes, must slot behind INT-01 with no product-visible change, inheriting all contract tests.</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R5</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Cutover of a pilot tenant to the own rail requires configuration only.</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INT-04</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Bank collection-account feed: consume the agreed daily file or API (format fixed with the design partner per Roadmap R3), matching on invoice and facility references, with exception queues for shortfall, early, direct-paid and disputed items.</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R4</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month of fixture feed reconciles with zero unexplained breaks; every exception lands in a workflow.</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INT-05</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Statement ingestion must accept common Nigerian bank statement exports for reconciliation v1, behind an abstraction ready to adopt open-banking interfaces as they mature [OPEN-3].</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Top statement formats from pilot clients parse at 99 percent line success.</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INT-06</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ERP connector contract per PL-03: authentication, incremental pull, field mapping, fixture suite; connectors are configuration plus mapping, never core forks.</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Second connector ships in under half the effort of the first, measured.</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INT-07</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Messaging providers: WhatsApp Business API and at least one local SMS aggregator integrated behind PL-04 with template management and delivery receipts.</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Template changes deploy without code; receipts populate message status.</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INT-08</w:t>
            </w:r>
          </w:p>
        </w:tc>
        <w:tc>
          <w:tcPr>
            <w:tcW w:type="dxa" w:w="530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Legal-pack execution: notice presentation and acceptance capture per BR-03 using the method counsel approves [OPEN-1]; the executed artifact stores in the vault with the invoice.</w:t>
            </w:r>
          </w:p>
        </w:tc>
        <w:tc>
          <w:tcPr>
            <w:tcW w:type="dxa" w:w="144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R4</w:t>
            </w:r>
          </w:p>
        </w:tc>
        <w:tc>
          <w:tcPr>
            <w:tcW w:type="dxa" w:w="173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funded invoice’s pack is retrievable as one bundle with attribution evidence.</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INT-09</w:t>
            </w:r>
          </w:p>
        </w:tc>
        <w:tc>
          <w:tcPr>
            <w:tcW w:type="dxa" w:w="530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Submission reliability mechanics: a transactional outbox between database write and worker enqueue; dead-letter queues with operator visibility; a safe manual replay tool; a scheduled rail-state reconciliation job comparing MeridianIQ state against APP and MBS state; duplicate-stamp reconciliation after retries; and per-rail error budgets that trigger failover or escalation.</w:t>
            </w:r>
          </w:p>
        </w:tc>
        <w:tc>
          <w:tcPr>
            <w:tcW w:type="dxa" w:w="144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173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simulated crash between write and enqueue loses no submission; every dead-lettered item is visible with a replay path; a seeded state divergence is caught by the reconciliation job.</w:t>
            </w:r>
          </w:p>
        </w:tc>
      </w:tr>
    </w:tbl>
    <w:p>
      <w:pPr>
        <w:spacing w:after="120"/>
      </w:pPr>
    </w:p>
    <w:p>
      <w:pPr>
        <w:pStyle w:val="Heading1"/>
      </w:pPr>
      <w:r>
        <w:t xml:space="preserve">9. Environments, Delivery and Quality</w:t>
      </w:r>
    </w:p>
    <w:p>
      <w:pPr>
        <w:spacing w:after="140" w:line="276"/>
        <w:jc w:val="both"/>
      </w:pPr>
      <w:r>
        <w:rPr>
          <w:rFonts w:ascii="Calibri" w:cs="Calibri" w:eastAsia="Calibri" w:hAnsi="Calibri"/>
          <w:b w:val="false"/>
          <w:bCs w:val="false"/>
          <w:i w:val="false"/>
          <w:iCs w:val="false"/>
          <w:color w:val="222222"/>
          <w:sz w:val="22"/>
          <w:szCs w:val="22"/>
        </w:rPr>
        <w:t xml:space="preserve">Three environments: development, a staging environment wired to the MBS sandbox through partner rails and refreshed with anonymized fixtures, and production. Infrastructure is code from R0; continuous integration blocks merge on failing golden-file UBL tests, adapter contract tests, migration tests and the SEC-07 access lint. The sandbox harness of Roadmap R0 is the quality centrepiece: every change to submission or validation logic must pass the harness against current MBS behaviour and carry recorded tax-lead sign-off in the audit log before release — the engineering expression of the regulatory-fidelity discipline. Release trains are weekly for application surfaces and on-demand behind flags for gated modules; the error catalogue doubles as the regression suite, since yesterday’s production failure becomes tomorrow’s golden test. Load tests at the NFR-03 envelope run before the small-wave date and before R4 go-live, and each quarter includes one restore drill and, twice yearly, one incident tabletop. Observability is structured logging with trace propagation across the submission pipeline, per-rail health dashboards, and alerting tied to the compliance clocks (B2C windows, deadline calendars) as first-class signals rather than afterthoughts.</w:t>
      </w:r>
    </w:p>
    <w:p>
      <w:pPr>
        <w:spacing w:after="140" w:line="276"/>
        <w:jc w:val="both"/>
      </w:pPr>
      <w:r>
        <w:rPr>
          <w:rFonts w:ascii="Calibri" w:cs="Calibri" w:eastAsia="Calibri" w:hAnsi="Calibri"/>
          <w:b w:val="false"/>
          <w:bCs w:val="false"/>
          <w:i w:val="false"/>
          <w:iCs w:val="false"/>
          <w:color w:val="222222"/>
          <w:sz w:val="22"/>
          <w:szCs w:val="22"/>
        </w:rPr>
        <w:t xml:space="preserve">This TRD is deliberately architecture-level; sprint execution requires a named follow-on specification set, owned as R0-to-R1 engineering deliverables rather than left implicit: the canonical invoice data dictionary (field, type, source, validation rule, wave requirement, UBL path, error code, underwriting relevance); the lifecycle state machine (now Appendix B); the role-permission matrix (now Appendix C); the APP adapter API contract with request and response schemas, error codes, retry and idempotency behaviour; the error-catalogue taxonomy with stable internal codes; the consent-purpose matrix mapping every processing purpose to its layer; the retention-and-deletion policy, including how NDPA withdrawal interacts with the seven-year retention and legal hold; operator runbooks for the Compliance Desk with target handling time by case type, escalation tiers, QA sampling and daily exception reports; and the observability specification naming concrete events, dashboards, alerts and service-level objectives. A requirement without its follow-on spec is not ready to build; a spec without a requirement is scope creep.</w:t>
      </w:r>
    </w:p>
    <w:p>
      <w:pPr>
        <w:pStyle w:val="Heading1"/>
      </w:pPr>
      <w:r>
        <w:t xml:space="preserve">10. Out of Scope and Deferred</w:t>
      </w:r>
    </w:p>
    <w:p>
      <w:pPr>
        <w:spacing w:after="140" w:line="276"/>
        <w:jc w:val="both"/>
      </w:pPr>
      <w:r>
        <w:rPr>
          <w:rFonts w:ascii="Calibri" w:cs="Calibri" w:eastAsia="Calibri" w:hAnsi="Calibri"/>
          <w:b w:val="false"/>
          <w:bCs w:val="false"/>
          <w:i w:val="false"/>
          <w:iCs w:val="false"/>
          <w:color w:val="222222"/>
          <w:sz w:val="22"/>
          <w:szCs w:val="22"/>
        </w:rPr>
        <w:t xml:space="preserve">Explicitly out of scope for this document’s horizon, with the reason stated so the boundary survives enthusiasm: native mobile applications (the PWA plus WhatsApp meets C8 at a fraction of the surface area; revisit on evidence of PWA failure, not preference); any payment execution, wallets or settlement (C7 is a legal perimeter, not a backlog item); building own-APP internals before accreditation (the adapter seam is the preparation; INT-03 is the promise); multi-country configuration before R5 (one jurisdiction proven beats two assumed); the AI failure-explainer beyond a catalogue-grounded assistant candidate in R2 (ships only if support load justifies it, and never as the sole resolution path for a compliance-critical failure); and any data product or external data sale of any kind (the consent architecture does not contemplate it, and the plan’s trust position forbids it).</w:t>
      </w:r>
    </w:p>
    <w:p>
      <w:pPr>
        <w:pStyle w:val="Heading1"/>
      </w:pPr>
      <w:r>
        <w:t xml:space="preserve">11. Open Technical Questions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157"/>
        <w:gridCol w:w="5012"/>
        <w:gridCol w:w="3469"/>
      </w:tblGrid>
      <w:tr>
        <w:trPr>
          <w:tblHeader/>
        </w:trPr>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Ref</w:t>
            </w:r>
          </w:p>
        </w:tc>
        <w:tc>
          <w:tcPr>
            <w:tcW w:type="dxa" w:w="5012"/>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Question</w:t>
            </w:r>
          </w:p>
        </w:tc>
        <w:tc>
          <w:tcPr>
            <w:tcW w:type="dxa" w:w="3469"/>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Owner and blocking effect</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OPEN-1</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What execution method for assignment notices and acknowledgments satisfies Nigerian evidentiary standards for the legal pack: qualified e-signature, OTP-plus-audit-trail, or wet-ink fallback for anchors?</w:t>
            </w:r>
          </w:p>
        </w:tc>
        <w:tc>
          <w:tcPr>
            <w:tcW w:type="dxa" w:w="346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Counsel, with the design-partner bank; blocks BR-03 and INT-08 build (R4), not the manual D11 pilots.</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OPEN-2</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Which of the partner APP rails support webhooks for stamp results, and what are their rate limits and sandbox parity guarantees?</w:t>
            </w:r>
          </w:p>
        </w:tc>
        <w:tc>
          <w:tcPr>
            <w:tcW w:type="dxa" w:w="346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APP partners during D1; shapes INT-01 polling design; blocks nothing at R0.</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OPEN-3</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What is the practical availability, coverage and consent model of open-banking account-data interfaces for SME accounts during 2027?</w:t>
            </w:r>
          </w:p>
        </w:tc>
        <w:tc>
          <w:tcPr>
            <w:tcW w:type="dxa" w:w="346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Engineering investigation in R2; determines when INT-05 abstraction gains a live API implementation.</w:t>
            </w:r>
          </w:p>
        </w:tc>
      </w:tr>
      <w:tr>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OPEN-4</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What file or API format will the design-partner bank support for the collection-account feed, and at what frequency?</w:t>
            </w:r>
          </w:p>
        </w:tc>
        <w:tc>
          <w:tcPr>
            <w:tcW w:type="dxa" w:w="346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Bank design partner in R3 sessions; fixes INT-04 before R4 build.</w:t>
            </w:r>
          </w:p>
        </w:tc>
      </w:tr>
      <w:tr>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OPEN-5</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Does the NRS or NITDA publish a change-notice channel for MBS API and validation-rule revisions, and what notice period is realistic to design for?</w:t>
            </w:r>
          </w:p>
        </w:tc>
        <w:tc>
          <w:tcPr>
            <w:tcW w:type="dxa" w:w="346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Tax lead via APP partners; calibrates the sandbox-harness cadence and INT-02 expectations.</w:t>
            </w:r>
          </w:p>
        </w:tc>
      </w:tr>
    </w:tbl>
    <w:p>
      <w:pPr>
        <w:spacing w:after="120"/>
      </w:pPr>
    </w:p>
    <w:p>
      <w:r>
        <w:br w:type="page"/>
      </w:r>
    </w:p>
    <w:p>
      <w:pPr>
        <w:pStyle w:val="Heading1"/>
      </w:pPr>
      <w:r>
        <w:t xml:space="preserve">Appendix A: Requirement-to-Gate Traceability</w:t>
      </w:r>
    </w:p>
    <w:p>
      <w:pPr>
        <w:spacing w:after="140" w:line="276"/>
        <w:jc w:val="both"/>
      </w:pPr>
      <w:r>
        <w:rPr>
          <w:rFonts w:ascii="Calibri" w:cs="Calibri" w:eastAsia="Calibri" w:hAnsi="Calibri"/>
          <w:b w:val="false"/>
          <w:bCs w:val="false"/>
          <w:i w:val="false"/>
          <w:iCs w:val="false"/>
          <w:color w:val="222222"/>
          <w:sz w:val="22"/>
          <w:szCs w:val="22"/>
        </w:rPr>
        <w:t xml:space="preserve">The contract that keeps engineering honest: every requirement group cites the roadmap release that owns it and the plan gate or deliverable that pays for it. A requirement that cannot name its gate is not a requirement; it is a wish.</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2120"/>
        <w:gridCol w:w="2506"/>
        <w:gridCol w:w="5012"/>
      </w:tblGrid>
      <w:tr>
        <w:trPr>
          <w:tblHeader/>
        </w:trPr>
        <w:tc>
          <w:tcPr>
            <w:tcW w:type="dxa" w:w="2120"/>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Requirement group</w:t>
            </w:r>
          </w:p>
        </w:tc>
        <w:tc>
          <w:tcPr>
            <w:tcW w:type="dxa" w:w="250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Release</w:t>
            </w:r>
          </w:p>
        </w:tc>
        <w:tc>
          <w:tcPr>
            <w:tcW w:type="dxa" w:w="5012"/>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Plan gate or deliverable it serves</w:t>
            </w:r>
          </w:p>
        </w:tc>
      </w:tr>
      <w:tr>
        <w:tc>
          <w:tcPr>
            <w:tcW w:type="dxa" w:w="212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CORE-01 to CORE-06; ADV-01 to ADV-04; PL-02, PL-05; SEC-01, SEC-04, SEC-06, SEC-08</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R0</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P0 deliverables: paid pilots and advisory revenue (D2-D5), data-rights architecture (D9), SI-path toggles (D1A), APP partnerships (D1).</w:t>
            </w:r>
          </w:p>
        </w:tc>
      </w:tr>
      <w:tr>
        <w:tc>
          <w:tcPr>
            <w:tcW w:type="dxa" w:w="212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SME-01 to SME-06; CON-01 to CON-04, CON-06 (share); CORE-07, CORE-08; PL-01, PL-04; NFR-01 to NFR-07; SEC-02, SEC-03, SEC-05, SEC-07, SEC-09 to SEC-12; INT-01 dual-rail, INT-02, INT-07, INT-09</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R1</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Platform gates: three to five firms actively selling, 100+ named prospects, 40 percent-plus pilot willingness to pay; 150+ channel subscriptions by 31 March 2027.</w:t>
            </w:r>
          </w:p>
        </w:tc>
      </w:tr>
      <w:tr>
        <w:tc>
          <w:tcPr>
            <w:tcW w:type="dxa" w:w="212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SME-07, SME-08; CON-05; CORE-09 lifecycle; BR-01, BR-02, BR-04, BR-05; PL-03; INT-05, INT-06</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R2</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Small-wave readiness (July 2027); Deliverable 11 learnings productized; credit-observable count tracking to 300.</w:t>
            </w:r>
          </w:p>
        </w:tc>
      </w:tr>
      <w:tr>
        <w:tc>
          <w:tcPr>
            <w:tcW w:type="dxa" w:w="212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CR-01 to CR-04; SEC-06 DPIA</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R3</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300+ credit-observable businesses; conditional bank MOU with draft facility economics (30 June 2027).</w:t>
            </w:r>
          </w:p>
        </w:tc>
      </w:tr>
      <w:tr>
        <w:tc>
          <w:tcPr>
            <w:tcW w:type="dxa" w:w="212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CR-05 to CR-09; BR-03; CORE-09 exception path; INT-04, INT-08; NFR-01/NFR-04 financing tier</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R4</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Pilot-facility approval (December 2027 conditions); losses and fraud within the agreed specification.</w:t>
            </w:r>
          </w:p>
        </w:tc>
      </w:tr>
      <w:tr>
        <w:tc>
          <w:tcPr>
            <w:tcW w:type="dxa" w:w="212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INT-03; open-banking implementation of INT-05; multi-market configuration</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R5</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Four consecutive in-spec quarters; own-APP accreditation completing.</w:t>
            </w:r>
          </w:p>
        </w:tc>
      </w:tr>
    </w:tbl>
    <w:p>
      <w:pPr>
        <w:pStyle w:val="Heading1"/>
      </w:pPr>
      <w:r>
        <w:t xml:space="preserve">Appendix B: Invoice Lifecycle State Machine</w:t>
      </w:r>
    </w:p>
    <w:p>
      <w:pPr>
        <w:spacing w:after="140" w:line="276"/>
        <w:jc w:val="both"/>
      </w:pPr>
      <w:r>
        <w:rPr>
          <w:rFonts w:ascii="Calibri" w:cs="Calibri" w:eastAsia="Calibri" w:hAnsi="Calibri"/>
          <w:b w:val="false"/>
          <w:bCs w:val="false"/>
          <w:i w:val="false"/>
          <w:iCs w:val="false"/>
          <w:color w:val="222222"/>
          <w:sz w:val="22"/>
          <w:szCs w:val="22"/>
        </w:rPr>
        <w:t xml:space="preserve">The allowed transitions behind CORE-02 and CORE-09. Draft is the only mutable state; immutability begins at submission. Any transition not listed is forbidden by the persistence layer.</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735"/>
        <w:gridCol w:w="2506"/>
        <w:gridCol w:w="5397"/>
      </w:tblGrid>
      <w:tr>
        <w:trPr>
          <w:tblHeader/>
        </w:trPr>
        <w:tc>
          <w:tcPr>
            <w:tcW w:type="dxa" w:w="1735"/>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State</w:t>
            </w:r>
          </w:p>
        </w:tc>
        <w:tc>
          <w:tcPr>
            <w:tcW w:type="dxa" w:w="250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Entered from</w:t>
            </w:r>
          </w:p>
        </w:tc>
        <w:tc>
          <w:tcPr>
            <w:tcW w:type="dxa" w:w="539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Exits and notes</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Draft</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Capture or import</w:t>
            </w:r>
          </w:p>
        </w:tc>
        <w:tc>
          <w:tcPr>
            <w:tcW w:type="dxa" w:w="539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Mutable working state. Exits to Validated locally; deletable by the client.</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Validated locally</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Draft</w:t>
            </w:r>
          </w:p>
        </w:tc>
        <w:tc>
          <w:tcPr>
            <w:tcW w:type="dxa" w:w="539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Full mandatory-field rule set passed client-side. Exits to Queued or back to Draft on edit.</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Queued</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Validated locally</w:t>
            </w:r>
          </w:p>
        </w:tc>
        <w:tc>
          <w:tcPr>
            <w:tcW w:type="dxa" w:w="539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Transactional outbox entry created (INT-09). Exits to Submitted.</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Submitted</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Queued</w:t>
            </w:r>
          </w:p>
        </w:tc>
        <w:tc>
          <w:tcPr>
            <w:tcW w:type="dxa" w:w="539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Sent via APP adapter with idempotency key. Exits to Pending.</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Pending</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Submitted</w:t>
            </w:r>
          </w:p>
        </w:tc>
        <w:tc>
          <w:tcPr>
            <w:tcW w:type="dxa" w:w="539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Awaiting MBS validation. Exits to Stamped or Failed.</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Stamped</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Pending</w:t>
            </w:r>
          </w:p>
        </w:tc>
        <w:tc>
          <w:tcPr>
            <w:tcW w:type="dxa" w:w="539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IRN, CSID and QR recorded; artifact vaulted write-once. Exits to Confirmation requested, Cancelled/Credited (where the platform supports it), or terminal archive.</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Failed</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Pending</w:t>
            </w:r>
          </w:p>
        </w:tc>
        <w:tc>
          <w:tcPr>
            <w:tcW w:type="dxa" w:w="539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Mapped to the error catalogue. Exits to Queued (retry) or Draft (correction); repeated failures dead-letter to the operator queue.</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Cancelled / Credited</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Stamped</w:t>
            </w:r>
          </w:p>
        </w:tc>
        <w:tc>
          <w:tcPr>
            <w:tcW w:type="dxa" w:w="539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Platform-supported cancellation or credit note; propagates to vault and reconciliation. If the invoice was Funded, also raises the mandatory financing exception (CORE-09).</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Confirmation requested</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Stamped</w:t>
            </w:r>
          </w:p>
        </w:tc>
        <w:tc>
          <w:tcPr>
            <w:tcW w:type="dxa" w:w="539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Sent to the buyer inside Buyer Rails. Exits to Confirmed, Queried or Rejected.</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Confirmed</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Confirmation requested</w:t>
            </w:r>
          </w:p>
        </w:tc>
        <w:tc>
          <w:tcPr>
            <w:tcW w:type="dxa" w:w="539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Buyer identity, method and any no-set-off acknowledgment recorded with lineage. Exits to Settlement observed and/or Finance eligible.</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Queried / Rejected</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Confirmation requested</w:t>
            </w:r>
          </w:p>
        </w:tc>
        <w:tc>
          <w:tcPr>
            <w:tcW w:type="dxa" w:w="539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Returned to the supplier with reason; may re-enter Confirmation requested after correction via credit-note flow.</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Settlement observed</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Confirmed (or Stamped)</w:t>
            </w:r>
          </w:p>
        </w:tc>
        <w:tc>
          <w:tcPr>
            <w:tcW w:type="dxa" w:w="539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SettlementEvent from an allowed source recorded (statement match, buyer flag, collection-account feed).</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Finance eligible</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Confirmed + Settlement-observable</w:t>
            </w:r>
          </w:p>
        </w:tc>
        <w:tc>
          <w:tcPr>
            <w:tcW w:type="dxa" w:w="539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Passes the full CR-01 rule set including KYB (CR-09) and caps. Exits to Finance requested.</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Finance requested</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Finance eligible</w:t>
            </w:r>
          </w:p>
        </w:tc>
        <w:tc>
          <w:tcPr>
            <w:tcW w:type="dxa" w:w="539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Supplier action with transparent pricing (CR-06). Exits to Funded or Declined-with-reason.</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Funded</w:t>
            </w:r>
          </w:p>
        </w:tc>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Finance requested</w:t>
            </w:r>
          </w:p>
        </w:tc>
        <w:tc>
          <w:tcPr>
            <w:tcW w:type="dxa" w:w="539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Bank funds supplier; legal pack complete (BR-03). Exits to Repaid, Disputed, Defaulted, or Exception on cancellation/credit note.</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Repaid / Disputed / Defaulted</w:t>
            </w:r>
          </w:p>
        </w:tc>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Funded</w:t>
            </w:r>
          </w:p>
        </w:tc>
        <w:tc>
          <w:tcPr>
            <w:tcW w:type="dxa" w:w="539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Terminal financing outcomes via the collection-account feed (INT-04); all feed the loss dashboards and, in time, the statistical fraud layer.</w:t>
            </w:r>
          </w:p>
        </w:tc>
      </w:tr>
    </w:tbl>
    <w:p>
      <w:r>
        <w:br w:type="page"/>
      </w:r>
    </w:p>
    <w:p>
      <w:pPr>
        <w:pStyle w:val="Heading1"/>
      </w:pPr>
      <w:r>
        <w:t xml:space="preserve">Appendix C: Role-Permission Matrix</w:t>
      </w:r>
    </w:p>
    <w:p>
      <w:pPr>
        <w:spacing w:after="140" w:line="276"/>
        <w:jc w:val="both"/>
      </w:pPr>
      <w:r>
        <w:rPr>
          <w:rFonts w:ascii="Calibri" w:cs="Calibri" w:eastAsia="Calibri" w:hAnsi="Calibri"/>
          <w:b w:val="false"/>
          <w:bCs w:val="false"/>
          <w:i w:val="false"/>
          <w:iCs w:val="false"/>
          <w:color w:val="222222"/>
          <w:sz w:val="22"/>
          <w:szCs w:val="22"/>
        </w:rPr>
        <w:t xml:space="preserve">The per-action matrix behind CON-01 and SEC-02. Y = permitted; A = permitted with second-person approval; blank = forbidden. All actions are audit-logged (CORE-05).</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2891"/>
        <w:gridCol w:w="1060"/>
        <w:gridCol w:w="1060"/>
        <w:gridCol w:w="1157"/>
        <w:gridCol w:w="1157"/>
        <w:gridCol w:w="1157"/>
        <w:gridCol w:w="1156"/>
      </w:tblGrid>
      <w:tr>
        <w:trPr>
          <w:tblHeader/>
        </w:trPr>
        <w:tc>
          <w:tcPr>
            <w:tcW w:type="dxa" w:w="289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Action</w:t>
            </w:r>
          </w:p>
        </w:tc>
        <w:tc>
          <w:tcPr>
            <w:tcW w:type="dxa" w:w="1060"/>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Client user</w:t>
            </w:r>
          </w:p>
        </w:tc>
        <w:tc>
          <w:tcPr>
            <w:tcW w:type="dxa" w:w="1060"/>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Firm staff</w:t>
            </w:r>
          </w:p>
        </w:tc>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Firm admin</w:t>
            </w:r>
          </w:p>
        </w:tc>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Operator</w:t>
            </w:r>
          </w:p>
        </w:tc>
        <w:tc>
          <w:tcPr>
            <w:tcW w:type="dxa" w:w="115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Bank user</w:t>
            </w:r>
          </w:p>
        </w:tc>
        <w:tc>
          <w:tcPr>
            <w:tcW w:type="dxa" w:w="115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Auditor</w:t>
            </w:r>
          </w:p>
        </w:tc>
      </w:tr>
      <w:tr>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Create / edit / delete draft</w:t>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Submit invoice</w:t>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View stamped vault (own scope)</w:t>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r>
      <w:tr>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Retry / replay failed submission</w:t>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 invoice / no-set-off ack</w:t>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Buyer-side confirmation (Buyer Rails role)</w:t>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 (buyer org)</w:t>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Accept assignment notice</w:t>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 (buyer org)</w:t>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Activate layer-three (credit) consent</w:t>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 (client admin)</w:t>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Export firm portfolio data</w:t>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r>
      <w:tr>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Manage firm branding / users</w:t>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Merge / split counterparty records</w:t>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w:t>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Approve / decline financing</w:t>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View bank data room</w:t>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060"/>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r>
      <w:tr>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View loss and fraud dashboards</w:t>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060"/>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w:t>
            </w:r>
          </w:p>
        </w:tc>
        <w:tc>
          <w:tcPr>
            <w:tcW w:type="dxa" w:w="115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c>
          <w:tcPr>
            <w:tcW w:type="dxa" w:w="115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8E6" w:sz="4" w:space="4"/>
      </w:pBdr>
      <w:tabs>
        <w:tab w:val="right" w:pos="9638"/>
      </w:tabs>
    </w:pPr>
    <w:r>
      <w:rPr>
        <w:rFonts w:ascii="Calibri" w:cs="Calibri" w:eastAsia="Calibri" w:hAnsi="Calibri"/>
        <w:color w:val="9AA5A2"/>
        <w:sz w:val="16"/>
        <w:szCs w:val="16"/>
      </w:rPr>
      <w:t xml:space="preserve">MeridianIQ — Confidential</w:t>
    </w:r>
    <w:r>
      <w:rPr>
        <w:sz w:val="16"/>
        <w:szCs w:val="16"/>
      </w:rPr>
      <w:t xml:space="preserve">	</w:t>
    </w:r>
    <w:r>
      <w:rPr>
        <w:rFonts w:ascii="Calibri" w:cs="Calibri" w:eastAsia="Calibri" w:hAnsi="Calibri"/>
        <w:color w:val="9AA5A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8E6" w:sz="4" w:space="4"/>
      </w:pBdr>
      <w:spacing w:after="0"/>
      <w:jc w:val="right"/>
    </w:pPr>
    <w:r>
      <w:rPr>
        <w:rFonts w:ascii="Calibri" w:cs="Calibri" w:eastAsia="Calibri" w:hAnsi="Calibri"/>
        <w:color w:val="9AA5A2"/>
        <w:sz w:val="16"/>
        <w:szCs w:val="16"/>
      </w:rPr>
      <w:t xml:space="preserve">MeridianIQ Technical Requirements v1.1  ·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3"/>
      </w:pBdr>
      <w:spacing w:after="180" w:before="360"/>
    </w:pPr>
    <w:rPr>
      <w:rFonts w:ascii="Calibri" w:cs="Calibri" w:eastAsia="Calibri" w:hAnsi="Calibri"/>
      <w:b/>
      <w:bCs/>
      <w:color w:val="0E4C45"/>
      <w:sz w:val="31"/>
      <w:szCs w:val="31"/>
    </w:rPr>
  </w:style>
  <w:style w:type="paragraph" w:styleId="Heading2">
    <w:name w:val="Heading 2"/>
    <w:basedOn w:val="Normal"/>
    <w:next w:val="Normal"/>
    <w:qFormat/>
    <w:pPr>
      <w:keepNext/>
      <w:spacing w:after="120" w:before="260"/>
    </w:pPr>
    <w:rPr>
      <w:rFonts w:ascii="Calibri" w:cs="Calibri" w:eastAsia="Calibri" w:hAnsi="Calibri"/>
      <w:b/>
      <w:bCs/>
      <w:color w:val="0A3833"/>
      <w:sz w:val="25"/>
      <w:szCs w:val="25"/>
    </w:rPr>
  </w:style>
  <w:style w:type="paragraph" w:styleId="Heading3">
    <w:name w:val="Heading 3"/>
    <w:basedOn w:val="Normal"/>
    <w:next w:val="Normal"/>
    <w:qFormat/>
    <w:pPr>
      <w:keepNext/>
      <w:spacing w:after="100" w:before="200"/>
    </w:pPr>
    <w:rPr>
      <w:rFonts w:ascii="Calibri" w:cs="Calibri" w:eastAsia="Calibri" w:hAnsi="Calibri"/>
      <w:b/>
      <w:bCs/>
      <w:color w:val="3E4B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MeridianIQ Technical Requirements Document v1.1</dc:title>
  <dc:creator>MeridianIQ</dc:creator>
  <dc:description>System specification companion to Business Plan v3.2 and Product Roadmap v1.0</dc:description>
  <cp:lastModifiedBy>Un-named</cp:lastModifiedBy>
  <cp:revision>1</cp:revision>
  <dcterms:created xsi:type="dcterms:W3CDTF">2026-07-07T08:00:35.328Z</dcterms:created>
  <dcterms:modified xsi:type="dcterms:W3CDTF">2026-07-07T08:00:35.330Z</dcterms:modified>
</cp:coreProperties>
</file>

<file path=docProps/custom.xml><?xml version="1.0" encoding="utf-8"?>
<Properties xmlns="http://schemas.openxmlformats.org/officeDocument/2006/custom-properties" xmlns:vt="http://schemas.openxmlformats.org/officeDocument/2006/docPropsVTypes"/>
</file>