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b/>
          <w:bCs/>
          <w:color w:val="1F3A5F"/>
          <w:sz w:val="96"/>
          <w:szCs w:val="96"/>
        </w:rPr>
        <w:t xml:space="preserve">VALO</w:t>
      </w:r>
    </w:p>
    <w:p>
      <w:pPr>
        <w:spacing w:after="90"/>
        <w:jc w:val="center"/>
      </w:pPr>
      <w:r>
        <w:rPr>
          <w:color w:val="44546A"/>
          <w:sz w:val="34"/>
          <w:szCs w:val="34"/>
        </w:rPr>
        <w:t xml:space="preserve">AI Bid Production &amp; Disqualification Defense</w:t>
      </w:r>
    </w:p>
    <w:p>
      <w:pPr>
        <w:spacing w:after="700"/>
        <w:jc w:val="center"/>
      </w:pPr>
      <w:r>
        <w:rPr>
          <w:i/>
          <w:iCs/>
          <w:color w:val="44546A"/>
          <w:sz w:val="26"/>
          <w:szCs w:val="26"/>
        </w:rPr>
        <w:t xml:space="preserve">for Nigeria's Public, Oil &amp; Gas, and Donor Tender Markets</w:t>
      </w:r>
    </w:p>
    <w:p>
      <w:pPr>
        <w:spacing w:after="90"/>
        <w:jc w:val="center"/>
      </w:pPr>
      <w:r>
        <w:rPr>
          <w:b/>
          <w:bCs/>
          <w:color w:val="222222"/>
          <w:sz w:val="30"/>
          <w:szCs w:val="30"/>
        </w:rPr>
        <w:t xml:space="preserve">BUSINESS PLAN</w:t>
      </w:r>
    </w:p>
    <w:p>
      <w:pPr>
        <w:spacing w:after="60"/>
        <w:jc w:val="center"/>
      </w:pPr>
      <w:r>
        <w:rPr>
          <w:color w:val="444444"/>
          <w:sz w:val="22"/>
          <w:szCs w:val="22"/>
        </w:rPr>
        <w:t xml:space="preserve">Version 1.1  ·  5 July 2026</w:t>
      </w:r>
    </w:p>
    <w:p>
      <w:pPr>
        <w:spacing w:after="60"/>
        <w:jc w:val="center"/>
      </w:pPr>
      <w:r>
        <w:rPr>
          <w:color w:val="444444"/>
          <w:sz w:val="22"/>
          <w:szCs w:val="22"/>
        </w:rPr>
        <w:t xml:space="preserve">Prepared by: Obeid Peter-Azeez (Founder)</w:t>
      </w:r>
    </w:p>
    <w:p>
      <w:pPr>
        <w:spacing w:after="1500"/>
        <w:jc w:val="center"/>
      </w:pPr>
      <w:r>
        <w:rPr>
          <w:color w:val="444444"/>
          <w:sz w:val="22"/>
          <w:szCs w:val="22"/>
        </w:rPr>
        <w:t xml:space="preserve">Abuja, Nigeria  ·  Doha, Qatar</w:t>
      </w:r>
    </w:p>
    <w:p>
      <w:pPr>
        <w:jc w:val="center"/>
      </w:pPr>
      <w:r>
        <w:rPr>
          <w:b/>
          <w:bCs/>
          <w:color w:val="8A1C1C"/>
          <w:sz w:val="20"/>
          <w:szCs w:val="20"/>
        </w:rPr>
        <w:t xml:space="preserve">CONFIDENTIAL — DRAFT FOR FOUNDER REVIEW</w:t>
      </w:r>
    </w:p>
    <w:p>
      <w:r>
        <w:br w:type="page"/>
      </w:r>
    </w:p>
    <w:p>
      <w:pPr>
        <w:sectPr>
          <w:pgSz w:w="11906" w:h="16838" w:orient="portrait"/>
          <w:pgMar w:top="1440" w:right="1440" w:bottom="1440" w:left="1440" w:header="708" w:footer="708" w:gutter="0"/>
          <w:pgNumType/>
          <w:docGrid w:linePitch="360"/>
        </w:sectPr>
      </w:pPr>
    </w:p>
    <w:p>
      <w:pPr>
        <w:pStyle w:val="Heading1"/>
        <w:spacing w:after="180" w:before="320"/>
      </w:pPr>
      <w:r>
        <w:t xml:space="preserve">Document Control</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800"/>
        <w:gridCol w:w="6560"/>
      </w:tblGrid>
      <w:tr>
        <w:trPr>
          <w:tblHeader/>
        </w:trPr>
        <w:tc>
          <w:tcPr>
            <w:tcW w:type="dxa" w:w="28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Field</w:t>
            </w:r>
          </w:p>
        </w:tc>
        <w:tc>
          <w:tcPr>
            <w:tcW w:type="dxa" w:w="65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Value</w:t>
            </w:r>
          </w:p>
        </w:tc>
      </w:tr>
      <w:tr>
        <w:tc>
          <w:tcPr>
            <w:tcW w:type="dxa" w:w="2800"/>
            <w:tcMar>
              <w:top w:type="dxa" w:w="70"/>
              <w:left w:type="dxa" w:w="110"/>
              <w:bottom w:type="dxa" w:w="70"/>
              <w:right w:type="dxa" w:w="110"/>
            </w:tcMar>
            <w:vAlign w:val="center"/>
          </w:tcPr>
          <w:p>
            <w:pPr>
              <w:spacing w:after="0" w:line="240"/>
              <w:jc w:val="left"/>
            </w:pPr>
            <w:r>
              <w:rPr>
                <w:b/>
                <w:bCs/>
                <w:color w:val="222222"/>
                <w:sz w:val="20"/>
                <w:szCs w:val="20"/>
              </w:rPr>
              <w:t xml:space="preserve">Document</w:t>
            </w:r>
          </w:p>
        </w:tc>
        <w:tc>
          <w:tcPr>
            <w:tcW w:type="dxa" w:w="6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Valo — Business Plan</w:t>
            </w:r>
          </w:p>
        </w:tc>
      </w:tr>
      <w:tr>
        <w:tc>
          <w:tcPr>
            <w:tcW w:type="dxa" w:w="2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Version</w:t>
            </w:r>
          </w:p>
        </w:tc>
        <w:tc>
          <w:tcPr>
            <w:tcW w:type="dxa" w:w="6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v1.1 (post-assessment revision)</w:t>
            </w:r>
          </w:p>
        </w:tc>
      </w:tr>
      <w:tr>
        <w:tc>
          <w:tcPr>
            <w:tcW w:type="dxa" w:w="2800"/>
            <w:tcMar>
              <w:top w:type="dxa" w:w="70"/>
              <w:left w:type="dxa" w:w="110"/>
              <w:bottom w:type="dxa" w:w="70"/>
              <w:right w:type="dxa" w:w="110"/>
            </w:tcMar>
            <w:vAlign w:val="center"/>
          </w:tcPr>
          <w:p>
            <w:pPr>
              <w:spacing w:after="0" w:line="240"/>
              <w:jc w:val="left"/>
            </w:pPr>
            <w:r>
              <w:rPr>
                <w:b/>
                <w:bCs/>
                <w:color w:val="222222"/>
                <w:sz w:val="20"/>
                <w:szCs w:val="20"/>
              </w:rPr>
              <w:t xml:space="preserve">Status</w:t>
            </w:r>
          </w:p>
        </w:tc>
        <w:tc>
          <w:tcPr>
            <w:tcW w:type="dxa" w:w="6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Revised draft for founder review — pre-Gate 0</w:t>
            </w:r>
          </w:p>
        </w:tc>
      </w:tr>
      <w:tr>
        <w:tc>
          <w:tcPr>
            <w:tcW w:type="dxa" w:w="2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Date</w:t>
            </w:r>
          </w:p>
        </w:tc>
        <w:tc>
          <w:tcPr>
            <w:tcW w:type="dxa" w:w="6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5 July 2026</w:t>
            </w:r>
          </w:p>
        </w:tc>
      </w:tr>
      <w:tr>
        <w:tc>
          <w:tcPr>
            <w:tcW w:type="dxa" w:w="2800"/>
            <w:tcMar>
              <w:top w:type="dxa" w:w="70"/>
              <w:left w:type="dxa" w:w="110"/>
              <w:bottom w:type="dxa" w:w="70"/>
              <w:right w:type="dxa" w:w="110"/>
            </w:tcMar>
            <w:vAlign w:val="center"/>
          </w:tcPr>
          <w:p>
            <w:pPr>
              <w:spacing w:after="0" w:line="240"/>
              <w:jc w:val="left"/>
            </w:pPr>
            <w:r>
              <w:rPr>
                <w:b/>
                <w:bCs/>
                <w:color w:val="222222"/>
                <w:sz w:val="20"/>
                <w:szCs w:val="20"/>
              </w:rPr>
              <w:t xml:space="preserve">Author</w:t>
            </w:r>
          </w:p>
        </w:tc>
        <w:tc>
          <w:tcPr>
            <w:tcW w:type="dxa" w:w="6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Obeid Peter-Azeez</w:t>
            </w:r>
          </w:p>
        </w:tc>
      </w:tr>
      <w:tr>
        <w:tc>
          <w:tcPr>
            <w:tcW w:type="dxa" w:w="2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Working name superseded</w:t>
            </w:r>
          </w:p>
        </w:tc>
        <w:tc>
          <w:tcPr>
            <w:tcW w:type="dxa" w:w="6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Munaqasa (concept development, June–July 2026)</w:t>
            </w:r>
          </w:p>
        </w:tc>
      </w:tr>
      <w:tr>
        <w:tc>
          <w:tcPr>
            <w:tcW w:type="dxa" w:w="2800"/>
            <w:tcMar>
              <w:top w:type="dxa" w:w="70"/>
              <w:left w:type="dxa" w:w="110"/>
              <w:bottom w:type="dxa" w:w="70"/>
              <w:right w:type="dxa" w:w="110"/>
            </w:tcMar>
            <w:vAlign w:val="center"/>
          </w:tcPr>
          <w:p>
            <w:pPr>
              <w:spacing w:after="0" w:line="240"/>
              <w:jc w:val="left"/>
            </w:pPr>
            <w:r>
              <w:rPr>
                <w:b/>
                <w:bCs/>
                <w:color w:val="222222"/>
                <w:sz w:val="20"/>
                <w:szCs w:val="20"/>
              </w:rPr>
              <w:t xml:space="preserve">Planning FX assumption</w:t>
            </w:r>
          </w:p>
        </w:tc>
        <w:tc>
          <w:tcPr>
            <w:tcW w:type="dxa" w:w="6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₦1,500 / US$1 (model input, not a forecast; stress-tested ±20%)</w:t>
            </w:r>
          </w:p>
        </w:tc>
      </w:tr>
      <w:tr>
        <w:tc>
          <w:tcPr>
            <w:tcW w:type="dxa" w:w="2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Model horizon</w:t>
            </w:r>
          </w:p>
        </w:tc>
        <w:tc>
          <w:tcPr>
            <w:tcW w:type="dxa" w:w="6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36 months from launch (M1 = August 2026)</w:t>
            </w:r>
          </w:p>
        </w:tc>
      </w:tr>
      <w:tr>
        <w:tc>
          <w:tcPr>
            <w:tcW w:type="dxa" w:w="2800"/>
            <w:tcMar>
              <w:top w:type="dxa" w:w="70"/>
              <w:left w:type="dxa" w:w="110"/>
              <w:bottom w:type="dxa" w:w="70"/>
              <w:right w:type="dxa" w:w="110"/>
            </w:tcMar>
            <w:vAlign w:val="center"/>
          </w:tcPr>
          <w:p>
            <w:pPr>
              <w:spacing w:after="0" w:line="240"/>
              <w:jc w:val="left"/>
            </w:pPr>
            <w:r>
              <w:rPr>
                <w:b/>
                <w:bCs/>
                <w:color w:val="222222"/>
                <w:sz w:val="20"/>
                <w:szCs w:val="20"/>
              </w:rPr>
              <w:t xml:space="preserve">Supersedes</w:t>
            </w:r>
          </w:p>
        </w:tc>
        <w:tc>
          <w:tcPr>
            <w:tcW w:type="dxa" w:w="6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v1.0 (4 July 2026)</w:t>
            </w:r>
          </w:p>
        </w:tc>
      </w:tr>
      <w:tr>
        <w:tc>
          <w:tcPr>
            <w:tcW w:type="dxa" w:w="2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Distribution</w:t>
            </w:r>
          </w:p>
        </w:tc>
        <w:tc>
          <w:tcPr>
            <w:tcW w:type="dxa" w:w="6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Founder only; advisor copies numbered on issue</w:t>
            </w:r>
          </w:p>
        </w:tc>
      </w:tr>
    </w:tbl>
    <w:p>
      <w:pPr>
        <w:spacing w:after="200"/>
      </w:pPr>
    </w:p>
    <w:p>
      <w:pPr>
        <w:spacing w:after="160" w:before="0" w:line="276"/>
        <w:jc w:val="both"/>
      </w:pPr>
      <w:r>
        <w:rPr>
          <w:b w:val="false"/>
          <w:bCs w:val="false"/>
          <w:i w:val="false"/>
          <w:iCs w:val="false"/>
          <w:color w:val="222222"/>
          <w:sz w:val="22"/>
          <w:szCs w:val="22"/>
        </w:rPr>
        <w:t xml:space="preserve">Naming note: Valo supersedes the working name Munaqasa. The name reassigns a label previously used for an unrelated internal concept and carries no continuity, assets, or assumptions from it. All references to Valo in this document refer exclusively to the venture described herein.</w:t>
      </w:r>
    </w:p>
    <w:p>
      <w:pPr>
        <w:spacing w:after="200"/>
      </w:pPr>
    </w:p>
    <w:p>
      <w:pPr>
        <w:pStyle w:val="Heading2"/>
        <w:spacing w:after="140" w:before="240"/>
      </w:pPr>
      <w:r>
        <w:t xml:space="preserve">Revision History</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200"/>
        <w:gridCol w:w="7160"/>
      </w:tblGrid>
      <w:tr>
        <w:trPr>
          <w:tblHeader/>
        </w:trPr>
        <w:tc>
          <w:tcPr>
            <w:tcW w:type="dxa" w:w="22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Version</w:t>
            </w:r>
          </w:p>
        </w:tc>
        <w:tc>
          <w:tcPr>
            <w:tcW w:type="dxa" w:w="71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Summary of changes</w:t>
            </w:r>
          </w:p>
        </w:tc>
      </w:tr>
      <w:tr>
        <w:tc>
          <w:tcPr>
            <w:tcW w:type="dxa" w:w="2200"/>
            <w:tcMar>
              <w:top w:type="dxa" w:w="70"/>
              <w:left w:type="dxa" w:w="110"/>
              <w:bottom w:type="dxa" w:w="70"/>
              <w:right w:type="dxa" w:w="110"/>
            </w:tcMar>
            <w:vAlign w:val="center"/>
          </w:tcPr>
          <w:p>
            <w:pPr>
              <w:spacing w:after="0" w:line="240"/>
              <w:jc w:val="left"/>
            </w:pPr>
            <w:r>
              <w:rPr>
                <w:b/>
                <w:bCs/>
                <w:color w:val="222222"/>
                <w:sz w:val="20"/>
                <w:szCs w:val="20"/>
              </w:rPr>
              <w:t xml:space="preserve">v1.0 — 4 Jul 2026</w:t>
            </w:r>
          </w:p>
        </w:tc>
        <w:tc>
          <w:tcPr>
            <w:tcW w:type="dxa" w:w="71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First full draft.</w:t>
            </w:r>
          </w:p>
        </w:tc>
      </w:tr>
      <w:tr>
        <w:tc>
          <w:tcPr>
            <w:tcW w:type="dxa" w:w="22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v1.1 — 5 Jul 2026</w:t>
            </w:r>
          </w:p>
        </w:tc>
        <w:tc>
          <w:tcPr>
            <w:tcW w:type="dxa" w:w="71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Nine-point revision after external-assessment triage: (1) procurement thresholds corrected to the May 2025 circular; §2 rewritten around decentralisation, mandatory Standard Bidding Documents and debarment; (2) Prequalification Pack added to the product line; (3) outcome-guarantee language replaced with a process warranty (§1.1, §9.3, §14.3); (4) retainer restructured into Starter/Growth/Enterprise tiers with fair-use terms; (5) success-based fees removed from the Year 1 rate card; (6) Gate 0 tightened to seven conditions with one calibrated consequence; (7) founder-replacement economics added (§12.5) with the Replacement-Cost Crossover milestone; (8) Nigeria-proves-it / GCC-scales-it framing promoted to §1; (9) Appendix D sources corrected and updated.</w:t>
            </w:r>
          </w:p>
        </w:tc>
      </w:tr>
    </w:tbl>
    <w:p>
      <w:r>
        <w:br w:type="page"/>
      </w:r>
    </w:p>
    <w:p>
      <w:pPr>
        <w:pStyle w:val="Heading1"/>
        <w:spacing w:after="18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60" w:before="0" w:line="276"/>
        <w:jc w:val="both"/>
      </w:pPr>
      <w:r>
        <w:rPr>
          <w:b w:val="false"/>
          <w:bCs w:val="false"/>
          <w:i w:val="false"/>
          <w:iCs w:val="false"/>
          <w:color w:val="222222"/>
          <w:sz w:val="22"/>
          <w:szCs w:val="22"/>
        </w:rPr>
        <w:t xml:space="preserve"> </w:t>
      </w:r>
    </w:p>
    <w:p>
      <w:pPr>
        <w:spacing w:after="160" w:before="0" w:line="276"/>
        <w:jc w:val="both"/>
      </w:pPr>
      <w:r>
        <w:rPr>
          <w:b w:val="false"/>
          <w:bCs w:val="false"/>
          <w:i/>
          <w:iCs/>
          <w:color w:val="666666"/>
          <w:sz w:val="18"/>
          <w:szCs w:val="18"/>
        </w:rPr>
        <w:t xml:space="preserve">Note: refresh fields in Word (Ctrl+A, F9) to populate page numbers.</w:t>
      </w:r>
    </w:p>
    <w:p>
      <w:r>
        <w:br w:type="page"/>
      </w:r>
    </w:p>
    <w:p>
      <w:pPr>
        <w:pStyle w:val="Heading1"/>
        <w:spacing w:after="180" w:before="320"/>
      </w:pPr>
      <w:r>
        <w:t xml:space="preserve">1. Executive Summary</w:t>
      </w:r>
    </w:p>
    <w:p>
      <w:pPr>
        <w:pStyle w:val="Heading2"/>
        <w:spacing w:after="140" w:before="240"/>
      </w:pPr>
      <w:r>
        <w:t xml:space="preserve">1.1 Verdict</w:t>
      </w:r>
    </w:p>
    <w:p>
      <w:pPr>
        <w:spacing w:after="160" w:before="0" w:line="276"/>
        <w:jc w:val="both"/>
      </w:pPr>
      <w:r>
        <w:rPr>
          <w:b w:val="false"/>
          <w:bCs w:val="false"/>
          <w:i w:val="false"/>
          <w:iCs w:val="false"/>
          <w:color w:val="222222"/>
          <w:sz w:val="22"/>
          <w:szCs w:val="22"/>
        </w:rPr>
        <w:t xml:space="preserve">Valo is an AI bid-production and disqualification-defense engine for organisations that sell to the Nigerian state, to the oil and gas supply chain, and to donor-funded programmes. It takes a tender from request-for-proposal to submission-ready package through a process engineered so that no controllable defect — expired certificate, omitted document, arithmetic error, formatting breach, unresponsive section — survives to submission. The founding claim is deliberately narrow and honest: Valo does not promise contract awards and does not warrant evaluator behaviour; it warrants the process — exhaustive requirement extraction, deterministic verification, named-reviewer sign-off — applied to the materials under review. In plain terms: Valo exists so that a client never loses for a reason that was within their control.</w:t>
      </w:r>
    </w:p>
    <w:p>
      <w:pPr>
        <w:spacing w:after="160" w:before="0" w:line="276"/>
        <w:jc w:val="both"/>
      </w:pPr>
      <w:r>
        <w:rPr>
          <w:b w:val="false"/>
          <w:bCs w:val="false"/>
          <w:i w:val="false"/>
          <w:iCs w:val="false"/>
          <w:color w:val="222222"/>
          <w:sz w:val="22"/>
          <w:szCs w:val="22"/>
        </w:rPr>
        <w:t xml:space="preserve">The venture launches from Abuja with US$20,000 of founder capital, a two-month validation gate before any material spend, explicit kill criteria, and a product architecture the founder can build largely alone: a deterministic compliance core (checklists, certificate-expiry tracking, bill-of-quantities arithmetic verification, package assembly) wrapped in a large-language-model shell (requirement extraction from messy tender documents, responsive technical drafting from a curated capability library, red-team scoring against evaluation criteria).</w:t>
      </w:r>
    </w:p>
    <w:p>
      <w:pPr>
        <w:pStyle w:val="Heading2"/>
        <w:spacing w:after="140" w:before="240"/>
      </w:pPr>
      <w:r>
        <w:t xml:space="preserve">1.2 Why this, why now, why Abuja</w:t>
      </w:r>
    </w:p>
    <w:p>
      <w:pPr>
        <w:spacing w:after="160" w:before="0" w:line="276"/>
        <w:jc w:val="both"/>
      </w:pPr>
      <w:r>
        <w:rPr>
          <w:b w:val="false"/>
          <w:bCs w:val="false"/>
          <w:i w:val="false"/>
          <w:iCs w:val="false"/>
          <w:color w:val="222222"/>
          <w:sz w:val="22"/>
          <w:szCs w:val="22"/>
        </w:rPr>
        <w:t xml:space="preserve">Nigeria's 2026 federal budget exceeds ₦68 trillion across more than 700 ministries, departments and agencies, with NNPC/NipeX oil and gas procurement forming a further, separately governed spending category under NCDMB local-content rules. Critically, the federal transparency portal (NOCOPO) is a disclosure system, not a transactional e-procurement system: it publishes contract data but does not handle electronic bid submission. Winning public money in Nigeria therefore still means producing document packages — technical proposals, bills of quantities, and a compliance stack of tax clearance, group life insurance, NSITF, ITF, PENCOM, audited accounts and BPP registration — where a single expired certificate or an arithmetic error disqualifies a bidder before evaluation begins. Since May 2025, revised approval thresholds have decentralised most award decisions to MDA tender boards — multiplying the venues where responsiveness is checked — while the Bureau of Public Procurement repositions toward post-review, audit and debarment, and its revised Standard Bidding Documents become mandatory for all procurements from the 2025 budget onward (Section 2).</w:t>
      </w:r>
    </w:p>
    <w:p>
      <w:pPr>
        <w:spacing w:after="160" w:before="0" w:line="276"/>
        <w:jc w:val="both"/>
      </w:pPr>
      <w:r>
        <w:rPr>
          <w:b w:val="false"/>
          <w:bCs w:val="false"/>
          <w:i w:val="false"/>
          <w:iCs w:val="false"/>
          <w:color w:val="222222"/>
          <w:sz w:val="22"/>
          <w:szCs w:val="22"/>
        </w:rPr>
        <w:t xml:space="preserve">The product category is proven at venture scale in Western markets: seventeen-plus dedicated AI proposal platforms now exist; sixty-eight percent of proposal teams report using AI (up from forty-two percent in 2023); and an independent study of 511 proposal professionals found a 19.5-percentage-point win-rate gap between users and non-users of the category leader. None of these platforms is localised for BPP standard bidding documents, NipeX/NCDMB templates, or the World Bank and AfDB formats used in Nigeria. The localisation gap is Valo's opening.</w:t>
      </w:r>
    </w:p>
    <w:p>
      <w:pPr>
        <w:spacing w:after="160" w:before="0" w:line="276"/>
        <w:jc w:val="both"/>
      </w:pPr>
      <w:r>
        <w:rPr>
          <w:b w:val="false"/>
          <w:bCs w:val="false"/>
          <w:i w:val="false"/>
          <w:iCs w:val="false"/>
          <w:color w:val="222222"/>
          <w:sz w:val="22"/>
          <w:szCs w:val="22"/>
        </w:rPr>
        <w:t xml:space="preserve">Abuja is, unusually, the decisive launch city: the contractor class, BPP, the MDAs, the National Assembly, donor country offices and the bid-consultancy ecosystem are physically concentrated there — and so, for the launch window, is the founder.</w:t>
      </w:r>
    </w:p>
    <w:p>
      <w:pPr>
        <w:spacing w:after="160" w:before="0" w:line="276"/>
        <w:jc w:val="both"/>
      </w:pPr>
      <w:r>
        <w:rPr>
          <w:b w:val="false"/>
          <w:bCs w:val="false"/>
          <w:i w:val="false"/>
          <w:iCs w:val="false"/>
          <w:color w:val="222222"/>
          <w:sz w:val="22"/>
          <w:szCs w:val="22"/>
        </w:rPr>
        <w:t xml:space="preserve">Framing discipline, stated up front: Nigeria proves the product, funds the business and builds the data moat; the GCC edition (Section 16) is what creates the venture-scale story. On static planning FX, even the Year 3 base case (≈ ₦380m ≈ US$250k) is a strong bootstrapped outcome rather than a venture one — the plan is built so that this is enough, and anything beyond it is upside.</w:t>
      </w:r>
    </w:p>
    <w:p>
      <w:pPr>
        <w:pStyle w:val="Heading2"/>
        <w:spacing w:after="140" w:before="240"/>
      </w:pPr>
      <w:r>
        <w:t xml:space="preserve">1.3 The wedge</w:t>
      </w:r>
    </w:p>
    <w:p>
      <w:pPr>
        <w:spacing w:after="160" w:before="0" w:line="276"/>
        <w:jc w:val="both"/>
      </w:pPr>
      <w:r>
        <w:rPr>
          <w:b w:val="false"/>
          <w:bCs w:val="false"/>
          <w:i w:val="false"/>
          <w:iCs w:val="false"/>
          <w:color w:val="222222"/>
          <w:sz w:val="22"/>
          <w:szCs w:val="22"/>
        </w:rPr>
        <w:t xml:space="preserve">Valo enters with the Bid Autopsy: a forensic, AI-assisted analysis of a contractor's recent losing (or nervous pending) bid against the original tender. The autopsy extracts every mandatory requirement, flags every compliance defect and disqualification risk — expired ITF certificate, missing PENCOM clause, BOQ arithmetic error on line 47, unresponsive technical section against the published evaluation criteria — and prices the findings against the value of the contract at stake. Five autopsies are free; thereafter they are paid, and they convert into assisted-bid mandates and monthly disqualification-defense retainers.</w:t>
      </w:r>
    </w:p>
    <w:p>
      <w:pPr>
        <w:pStyle w:val="Heading2"/>
        <w:spacing w:after="140" w:before="240"/>
      </w:pPr>
      <w:r>
        <w:t xml:space="preserve">1.4 Headline economics</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3600"/>
        <w:gridCol w:w="2880"/>
        <w:gridCol w:w="2880"/>
      </w:tblGrid>
      <w:tr>
        <w:trPr>
          <w:tblHeader/>
        </w:trPr>
        <w:tc>
          <w:tcPr>
            <w:tcW w:type="dxa" w:w="36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Item</w:t>
            </w:r>
          </w:p>
        </w:tc>
        <w:tc>
          <w:tcPr>
            <w:tcW w:type="dxa" w:w="28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Constrained case</w:t>
            </w:r>
          </w:p>
        </w:tc>
        <w:tc>
          <w:tcPr>
            <w:tcW w:type="dxa" w:w="28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Base case</w:t>
            </w:r>
          </w:p>
        </w:tc>
      </w:tr>
      <w:tr>
        <w:tc>
          <w:tcPr>
            <w:tcW w:type="dxa" w:w="3600"/>
            <w:tcMar>
              <w:top w:type="dxa" w:w="70"/>
              <w:left w:type="dxa" w:w="110"/>
              <w:bottom w:type="dxa" w:w="70"/>
              <w:right w:type="dxa" w:w="110"/>
            </w:tcMar>
            <w:vAlign w:val="center"/>
          </w:tcPr>
          <w:p>
            <w:pPr>
              <w:spacing w:after="0" w:line="240"/>
              <w:jc w:val="left"/>
            </w:pPr>
            <w:r>
              <w:rPr>
                <w:b/>
                <w:bCs/>
                <w:color w:val="222222"/>
                <w:sz w:val="20"/>
                <w:szCs w:val="20"/>
              </w:rPr>
              <w:t xml:space="preserve">Year 1 revenue</w:t>
            </w:r>
          </w:p>
        </w:tc>
        <w:tc>
          <w:tcPr>
            <w:tcW w:type="dxa" w:w="2880"/>
            <w:tcMar>
              <w:top w:type="dxa" w:w="70"/>
              <w:left w:type="dxa" w:w="110"/>
              <w:bottom w:type="dxa" w:w="70"/>
              <w:right w:type="dxa" w:w="110"/>
            </w:tcMar>
            <w:vAlign w:val="center"/>
          </w:tcPr>
          <w:p>
            <w:pPr>
              <w:spacing w:after="0" w:line="240"/>
              <w:jc w:val="left"/>
            </w:pPr>
            <w:r>
              <w:rPr>
                <w:b w:val="false"/>
                <w:bCs w:val="false"/>
                <w:color w:val="222222"/>
                <w:sz w:val="20"/>
                <w:szCs w:val="20"/>
              </w:rPr>
              <w:t xml:space="preserve">₦36m (≈ US$24k)</w:t>
            </w:r>
          </w:p>
        </w:tc>
        <w:tc>
          <w:tcPr>
            <w:tcW w:type="dxa" w:w="2880"/>
            <w:tcMar>
              <w:top w:type="dxa" w:w="70"/>
              <w:left w:type="dxa" w:w="110"/>
              <w:bottom w:type="dxa" w:w="70"/>
              <w:right w:type="dxa" w:w="110"/>
            </w:tcMar>
            <w:vAlign w:val="center"/>
          </w:tcPr>
          <w:p>
            <w:pPr>
              <w:spacing w:after="0" w:line="240"/>
              <w:jc w:val="left"/>
            </w:pPr>
            <w:r>
              <w:rPr>
                <w:b w:val="false"/>
                <w:bCs w:val="false"/>
                <w:color w:val="222222"/>
                <w:sz w:val="20"/>
                <w:szCs w:val="20"/>
              </w:rPr>
              <w:t xml:space="preserve">₦55m (≈ US$37k)</w:t>
            </w:r>
          </w:p>
        </w:tc>
      </w:tr>
      <w:tr>
        <w:tc>
          <w:tcPr>
            <w:tcW w:type="dxa" w:w="36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Year 1 operating cost (cash, ex-founder time)</w:t>
            </w:r>
          </w:p>
        </w:tc>
        <w:tc>
          <w:tcPr>
            <w:tcW w:type="dxa" w:w="288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₦16.5m</w:t>
            </w:r>
          </w:p>
        </w:tc>
        <w:tc>
          <w:tcPr>
            <w:tcW w:type="dxa" w:w="288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₦19m</w:t>
            </w:r>
          </w:p>
        </w:tc>
      </w:tr>
      <w:tr>
        <w:tc>
          <w:tcPr>
            <w:tcW w:type="dxa" w:w="3600"/>
            <w:tcMar>
              <w:top w:type="dxa" w:w="70"/>
              <w:left w:type="dxa" w:w="110"/>
              <w:bottom w:type="dxa" w:w="70"/>
              <w:right w:type="dxa" w:w="110"/>
            </w:tcMar>
            <w:vAlign w:val="center"/>
          </w:tcPr>
          <w:p>
            <w:pPr>
              <w:spacing w:after="0" w:line="240"/>
              <w:jc w:val="left"/>
            </w:pPr>
            <w:r>
              <w:rPr>
                <w:b/>
                <w:bCs/>
                <w:color w:val="222222"/>
                <w:sz w:val="20"/>
                <w:szCs w:val="20"/>
              </w:rPr>
              <w:t xml:space="preserve">Founder capital required</w:t>
            </w:r>
          </w:p>
        </w:tc>
        <w:tc>
          <w:tcPr>
            <w:tcW w:type="dxa" w:w="2880"/>
            <w:tcMar>
              <w:top w:type="dxa" w:w="70"/>
              <w:left w:type="dxa" w:w="110"/>
              <w:bottom w:type="dxa" w:w="70"/>
              <w:right w:type="dxa" w:w="110"/>
            </w:tcMar>
            <w:vAlign w:val="center"/>
          </w:tcPr>
          <w:p>
            <w:pPr>
              <w:spacing w:after="0" w:line="240"/>
              <w:jc w:val="left"/>
            </w:pPr>
            <w:r>
              <w:rPr>
                <w:b w:val="false"/>
                <w:bCs w:val="false"/>
                <w:color w:val="222222"/>
                <w:sz w:val="20"/>
                <w:szCs w:val="20"/>
              </w:rPr>
              <w:t xml:space="preserve">US$20,000 (₦30m)</w:t>
            </w:r>
          </w:p>
        </w:tc>
        <w:tc>
          <w:tcPr>
            <w:tcW w:type="dxa" w:w="2880"/>
            <w:tcMar>
              <w:top w:type="dxa" w:w="70"/>
              <w:left w:type="dxa" w:w="110"/>
              <w:bottom w:type="dxa" w:w="70"/>
              <w:right w:type="dxa" w:w="110"/>
            </w:tcMar>
            <w:vAlign w:val="center"/>
          </w:tcPr>
          <w:p>
            <w:pPr>
              <w:spacing w:after="0" w:line="240"/>
              <w:jc w:val="left"/>
            </w:pPr>
            <w:r>
              <w:rPr>
                <w:b w:val="false"/>
                <w:bCs w:val="false"/>
                <w:color w:val="222222"/>
                <w:sz w:val="20"/>
                <w:szCs w:val="20"/>
              </w:rPr>
              <w:t xml:space="preserve">US$20,000 (₦30m)</w:t>
            </w:r>
          </w:p>
        </w:tc>
      </w:tr>
      <w:tr>
        <w:tc>
          <w:tcPr>
            <w:tcW w:type="dxa" w:w="36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Cash position, end Year 1</w:t>
            </w:r>
          </w:p>
        </w:tc>
        <w:tc>
          <w:tcPr>
            <w:tcW w:type="dxa" w:w="288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Positive without full capital deployment</w:t>
            </w:r>
          </w:p>
        </w:tc>
        <w:tc>
          <w:tcPr>
            <w:tcW w:type="dxa" w:w="288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Positive; surplus funds Phase 2</w:t>
            </w:r>
          </w:p>
        </w:tc>
      </w:tr>
      <w:tr>
        <w:tc>
          <w:tcPr>
            <w:tcW w:type="dxa" w:w="3600"/>
            <w:tcMar>
              <w:top w:type="dxa" w:w="70"/>
              <w:left w:type="dxa" w:w="110"/>
              <w:bottom w:type="dxa" w:w="70"/>
              <w:right w:type="dxa" w:w="110"/>
            </w:tcMar>
            <w:vAlign w:val="center"/>
          </w:tcPr>
          <w:p>
            <w:pPr>
              <w:spacing w:after="0" w:line="240"/>
              <w:jc w:val="left"/>
            </w:pPr>
            <w:r>
              <w:rPr>
                <w:b/>
                <w:bCs/>
                <w:color w:val="222222"/>
                <w:sz w:val="20"/>
                <w:szCs w:val="20"/>
              </w:rPr>
              <w:t xml:space="preserve">Month-36 revenue run-rate</w:t>
            </w:r>
          </w:p>
        </w:tc>
        <w:tc>
          <w:tcPr>
            <w:tcW w:type="dxa" w:w="2880"/>
            <w:tcMar>
              <w:top w:type="dxa" w:w="70"/>
              <w:left w:type="dxa" w:w="110"/>
              <w:bottom w:type="dxa" w:w="70"/>
              <w:right w:type="dxa" w:w="110"/>
            </w:tcMar>
            <w:vAlign w:val="center"/>
          </w:tcPr>
          <w:p>
            <w:pPr>
              <w:spacing w:after="0" w:line="240"/>
              <w:jc w:val="left"/>
            </w:pPr>
            <w:r>
              <w:rPr>
                <w:b w:val="false"/>
                <w:bCs w:val="false"/>
                <w:color w:val="222222"/>
                <w:sz w:val="20"/>
                <w:szCs w:val="20"/>
              </w:rPr>
              <w:t xml:space="preserve">₦180m / yr</w:t>
            </w:r>
          </w:p>
        </w:tc>
        <w:tc>
          <w:tcPr>
            <w:tcW w:type="dxa" w:w="2880"/>
            <w:tcMar>
              <w:top w:type="dxa" w:w="70"/>
              <w:left w:type="dxa" w:w="110"/>
              <w:bottom w:type="dxa" w:w="70"/>
              <w:right w:type="dxa" w:w="110"/>
            </w:tcMar>
            <w:vAlign w:val="center"/>
          </w:tcPr>
          <w:p>
            <w:pPr>
              <w:spacing w:after="0" w:line="240"/>
              <w:jc w:val="left"/>
            </w:pPr>
            <w:r>
              <w:rPr>
                <w:b w:val="false"/>
                <w:bCs w:val="false"/>
                <w:color w:val="222222"/>
                <w:sz w:val="20"/>
                <w:szCs w:val="20"/>
              </w:rPr>
              <w:t xml:space="preserve">₦420m / yr</w:t>
            </w:r>
          </w:p>
        </w:tc>
      </w:tr>
      <w:tr>
        <w:tc>
          <w:tcPr>
            <w:tcW w:type="dxa" w:w="36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Gross margin at maturity</w:t>
            </w:r>
          </w:p>
        </w:tc>
        <w:tc>
          <w:tcPr>
            <w:tcW w:type="dxa" w:w="288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75%</w:t>
            </w:r>
          </w:p>
        </w:tc>
        <w:tc>
          <w:tcPr>
            <w:tcW w:type="dxa" w:w="288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78%</w:t>
            </w:r>
          </w:p>
        </w:tc>
      </w:tr>
    </w:tbl>
    <w:p>
      <w:pPr>
        <w:spacing w:after="120"/>
      </w:pPr>
    </w:p>
    <w:p>
      <w:pPr>
        <w:spacing w:after="160" w:before="0" w:line="276"/>
        <w:jc w:val="both"/>
      </w:pPr>
      <w:r>
        <w:rPr>
          <w:b w:val="false"/>
          <w:bCs w:val="false"/>
          <w:i w:val="false"/>
          <w:iCs w:val="false"/>
          <w:color w:val="222222"/>
          <w:sz w:val="22"/>
          <w:szCs w:val="22"/>
        </w:rPr>
        <w:t xml:space="preserve">The plan is deliberately survivable: even at thirty percent of constrained-case revenue, Year 1 cash costs remain inside the US$20,000 envelope. The scarce resource is not capital; it is founder attention, which is why the venture is gated, timeboxed and designed for remote delivery after the founder's relocation to Doha.</w:t>
      </w:r>
    </w:p>
    <w:p>
      <w:pPr>
        <w:pStyle w:val="Heading2"/>
        <w:spacing w:after="140" w:before="240"/>
      </w:pPr>
      <w:r>
        <w:t xml:space="preserve">1.5 Calibrated probabilities (founder's own estimates)</w:t>
      </w:r>
    </w:p>
    <w:p>
      <w:pPr>
        <w:pStyle w:val="ListParagraph"/>
        <w:numPr>
          <w:ilvl w:val="0"/>
          <w:numId w:val="2"/>
        </w:numPr>
        <w:spacing w:after="100" w:line="264"/>
      </w:pPr>
      <w:r>
        <w:rPr>
          <w:b w:val="false"/>
          <w:bCs w:val="false"/>
          <w:sz w:val="22"/>
          <w:szCs w:val="22"/>
        </w:rPr>
        <w:t xml:space="preserve">P(Gate 0 passes under the seven-condition v1.1 gate): 45–50% (was 50–55% under the v1.0 gate; the haircut buys a gate that kills more false positives).</w:t>
      </w:r>
    </w:p>
    <w:p>
      <w:pPr>
        <w:pStyle w:val="ListParagraph"/>
        <w:numPr>
          <w:ilvl w:val="0"/>
          <w:numId w:val="2"/>
        </w:numPr>
        <w:spacing w:after="100" w:line="264"/>
      </w:pPr>
      <w:r>
        <w:rPr>
          <w:b w:val="false"/>
          <w:bCs w:val="false"/>
          <w:sz w:val="22"/>
          <w:szCs w:val="22"/>
        </w:rPr>
        <w:t xml:space="preserve">P(US$5,000+/month equivalent revenue within nine months, conditional on Gate 0 passing): ~40%.</w:t>
      </w:r>
    </w:p>
    <w:p>
      <w:pPr>
        <w:pStyle w:val="ListParagraph"/>
        <w:numPr>
          <w:ilvl w:val="0"/>
          <w:numId w:val="2"/>
        </w:numPr>
        <w:spacing w:after="100" w:line="264"/>
      </w:pPr>
      <w:r>
        <w:rPr>
          <w:b w:val="false"/>
          <w:bCs w:val="false"/>
          <w:sz w:val="22"/>
          <w:szCs w:val="22"/>
        </w:rPr>
        <w:t xml:space="preserve">P(₦100m+ annualised revenue by Month 24, conditional on Gate 0 passing): 30–35%.</w:t>
      </w:r>
    </w:p>
    <w:p>
      <w:pPr>
        <w:pStyle w:val="ListParagraph"/>
        <w:numPr>
          <w:ilvl w:val="0"/>
          <w:numId w:val="2"/>
        </w:numPr>
        <w:spacing w:after="100" w:line="264"/>
      </w:pPr>
      <w:r>
        <w:rPr>
          <w:b w:val="false"/>
          <w:bCs w:val="false"/>
          <w:sz w:val="22"/>
          <w:szCs w:val="22"/>
        </w:rPr>
        <w:t xml:space="preserve">P(GCC extension generates first Qatari revenue by Month 30, conditional on Nigerian traction): ~35%.</w:t>
      </w:r>
    </w:p>
    <w:p>
      <w:pPr>
        <w:spacing w:after="160" w:before="0" w:line="276"/>
        <w:jc w:val="both"/>
      </w:pPr>
      <w:r>
        <w:rPr>
          <w:b w:val="false"/>
          <w:bCs w:val="false"/>
          <w:i/>
          <w:iCs/>
          <w:color w:val="222222"/>
          <w:sz w:val="22"/>
          <w:szCs w:val="22"/>
        </w:rPr>
        <w:t xml:space="preserve">These are honest gut calibrations, recorded here so that later drift is visible. They should be revised in writing at each gate.</w:t>
      </w:r>
    </w:p>
    <w:p>
      <w:pPr>
        <w:pBdr>
          <w:bottom w:val="single" w:color="1F3A5F" w:sz="8" w:space="2"/>
        </w:pBdr>
        <w:spacing w:after="220" w:before="60"/>
      </w:pPr>
    </w:p>
    <w:p>
      <w:pPr>
        <w:pStyle w:val="Heading1"/>
        <w:spacing w:after="180" w:before="320"/>
      </w:pPr>
      <w:r>
        <w:t xml:space="preserve">2. Market Context &amp; Timing</w:t>
      </w:r>
    </w:p>
    <w:p>
      <w:pPr>
        <w:pStyle w:val="Heading2"/>
        <w:spacing w:after="140" w:before="240"/>
      </w:pPr>
      <w:r>
        <w:t xml:space="preserve">2.1 The spend</w:t>
      </w:r>
    </w:p>
    <w:p>
      <w:pPr>
        <w:spacing w:after="160" w:before="0" w:line="276"/>
        <w:jc w:val="both"/>
      </w:pPr>
      <w:r>
        <w:rPr>
          <w:b w:val="false"/>
          <w:bCs w:val="false"/>
          <w:i w:val="false"/>
          <w:iCs w:val="false"/>
          <w:color w:val="222222"/>
          <w:sz w:val="22"/>
          <w:szCs w:val="22"/>
        </w:rPr>
        <w:t xml:space="preserve">Three procurement pools define the addressable market. First, federal public procurement: a 2026 budget exceeding ₦68 trillion, executed through 700+ MDAs under the Public Procurement Act 2007, with open competitive bidding as the default method; since the May 2025 threshold revision, most awards clear at MDA ministerial and parastatal tender-board level, with BPP No Objection reserved for the largest contracts (₦1bn–&lt;₦5bn goods/services and ₦5bn–&lt;₦10bn works at ministerial level; ₦5bn+ goods/consultancy and ₦10bn+ works at FEC level) and formal prequalification set at ₦500m+ for goods and non-consultant services and ₦1bn+ for works. Second, oil and gas: NNPC Limited and operator procurement runs through the NipeX platform under NCDMB local-content rules; Nigerian content has grown from under five percent in 2010 to roughly fifty-six percent by 2024, with a seventy percent target by 2027 — a policy engine that keeps forcing new Nigerian firms into formal, document-heavy bidding. Third, donor-funded procurement: World Bank, AfDB and multilateral programmes tendered from Abuja country offices under their own standard bidding documents, where evaluation is most genuinely merit-based.</w:t>
      </w:r>
    </w:p>
    <w:p>
      <w:pPr>
        <w:pStyle w:val="Heading2"/>
        <w:spacing w:after="140" w:before="240"/>
      </w:pPr>
      <w:r>
        <w:t xml:space="preserve">2.2 The structural facts that create Valo</w:t>
      </w:r>
    </w:p>
    <w:p>
      <w:pPr>
        <w:spacing w:after="160" w:before="0" w:line="276"/>
        <w:jc w:val="both"/>
      </w:pPr>
      <w:r>
        <w:rPr>
          <w:b w:val="false"/>
          <w:bCs w:val="false"/>
          <w:i w:val="false"/>
          <w:iCs w:val="false"/>
          <w:color w:val="222222"/>
          <w:sz w:val="22"/>
          <w:szCs w:val="22"/>
        </w:rPr>
        <w:t xml:space="preserve">NOCOPO, the federal open-contracting portal, publishes procurement data for transparency; it does not accept electronic bid submission. State-level e-procurement exists in pockets (for example Anambra), but the federal centre of gravity — where the money is — remains a document-package regime. Every serious pursuit is therefore a production problem: assemble, format, verify, certify, paginate, tab, and deliver a package in which any one of a dozen mandatory items can void the whole effort. This is precisely the class of problem that the founder's existing programmatic document-production tooling, and modern language models, are built for.</w:t>
      </w:r>
    </w:p>
    <w:p>
      <w:pPr>
        <w:spacing w:after="160" w:before="0" w:line="276"/>
        <w:jc w:val="both"/>
      </w:pPr>
      <w:r>
        <w:rPr>
          <w:b w:val="false"/>
          <w:bCs w:val="false"/>
          <w:i w:val="false"/>
          <w:iCs w:val="false"/>
          <w:color w:val="222222"/>
          <w:sz w:val="22"/>
          <w:szCs w:val="22"/>
        </w:rPr>
        <w:t xml:space="preserve">The May 2025 threshold circular sharpens the opportunity rather than shrinking it. Approval authority is decentralised — most awards now clear at MDA ministerial and parastatal tender-board level, with BPP No Objection reserved for the largest contracts — while the Bureau repositions toward post-review, procurement audit, surveillance and debarment. Three consequences matter to Valo. First, the decisive compliance gate moves to hundreds of MDA tender boards, multiplying the settings in which responsiveness is checked and defects are fatal. Second, the circular makes the Bureau's revised Standard Bidding Documents mandatory for all procurements from the 2025 budget onward — a canonical, government-issued template corpus against which Valo's extraction and assembly engines can be built and validated. Third, formal prequalification thresholds (₦500m+ for goods and non-consultant services; ₦1bn+ for works) turn prequalification packages into a recurring, document-intensive product line, and invoked debarment powers raise the commercial price of sloppy or embellished submissions — which strengthens the integrity position (Section 14).</w:t>
      </w:r>
    </w:p>
    <w:p>
      <w:pPr>
        <w:pStyle w:val="Heading2"/>
        <w:spacing w:after="140" w:before="240"/>
      </w:pPr>
      <w:r>
        <w:t xml:space="preserve">2.3 Category proof from mature markets</w:t>
      </w:r>
    </w:p>
    <w:p>
      <w:pPr>
        <w:spacing w:after="160" w:before="0" w:line="276"/>
        <w:jc w:val="both"/>
      </w:pPr>
      <w:r>
        <w:rPr>
          <w:b w:val="false"/>
          <w:bCs w:val="false"/>
          <w:i w:val="false"/>
          <w:iCs w:val="false"/>
          <w:color w:val="222222"/>
          <w:sz w:val="22"/>
          <w:szCs w:val="22"/>
        </w:rPr>
        <w:t xml:space="preserve">The AI proposal category has already cleared venture scale in the US and UK. Independent third-party research on the category leader recorded a 19.5-point win-rate gap and a twenty-two percent higher win rate among users; one US$2.5 billion construction firm doubled bid submissions and attributed US$25 million of added revenue to the tooling; requirement extraction that took roughly twenty-five hours manually now takes minutes. Adoption among proposal teams rose from forty-two percent (2023) to sixty-eight percent (2024–25). Pricing across seventeen-plus platforms runs from US$49 to US$2,000+ per month. Two implications follow: the value mechanism is demonstrated, and the incumbents are architecturally and commercially committed to FAR/DFARS-shaped Western procurement (FedRAMP authorisations, US-based staffing commitments), which makes near-term localisation to Nigeria unattractive to them.</w:t>
      </w:r>
    </w:p>
    <w:p>
      <w:pPr>
        <w:pStyle w:val="Heading2"/>
        <w:spacing w:after="140" w:before="240"/>
      </w:pPr>
      <w:r>
        <w:t xml:space="preserve">2.4 What exists locally</w:t>
      </w:r>
    </w:p>
    <w:p>
      <w:pPr>
        <w:spacing w:after="160" w:before="0" w:line="276"/>
        <w:jc w:val="both"/>
      </w:pPr>
      <w:r>
        <w:rPr>
          <w:b w:val="false"/>
          <w:bCs w:val="false"/>
          <w:i w:val="false"/>
          <w:iCs w:val="false"/>
          <w:color w:val="222222"/>
          <w:sz w:val="22"/>
          <w:szCs w:val="22"/>
        </w:rPr>
        <w:t xml:space="preserve">Nigeria's tender-tech layer today is discovery and manual service. Aggregators (Jorpex at US$49/month, SellToState, Etenders and others) monitor NOCOPO, NNPC, state boards and multilateral sources and push alerts. Consultancies — including the aggregators themselves — prepare bids by hand and procure compliance certificates as a service. Nobody occupies the AI-native production and compliance-QA layer between discovery and submission. Valo buys the discovery layer rather than building it, partners with the consultancies rather than fighting them, and owns the layer where the disqualification risk actually lives.</w:t>
      </w:r>
    </w:p>
    <w:p>
      <w:pPr>
        <w:pStyle w:val="Heading2"/>
        <w:spacing w:after="140" w:before="240"/>
      </w:pPr>
      <w:r>
        <w:t xml:space="preserve">2.5 Timing</w:t>
      </w:r>
    </w:p>
    <w:p>
      <w:pPr>
        <w:pStyle w:val="ListParagraph"/>
        <w:numPr>
          <w:ilvl w:val="0"/>
          <w:numId w:val="2"/>
        </w:numPr>
        <w:spacing w:after="100" w:line="264"/>
      </w:pPr>
      <w:r>
        <w:rPr>
          <w:b w:val="false"/>
          <w:bCs w:val="false"/>
          <w:sz w:val="22"/>
          <w:szCs w:val="22"/>
        </w:rPr>
        <w:t xml:space="preserve">Local-content ratchet: the NCDMB 70%-by-2027 target keeps minting first-time formal bidders in oil and gas — firms with capability but no bid-production muscle.</w:t>
      </w:r>
    </w:p>
    <w:p>
      <w:pPr>
        <w:pStyle w:val="ListParagraph"/>
        <w:numPr>
          <w:ilvl w:val="0"/>
          <w:numId w:val="2"/>
        </w:numPr>
        <w:spacing w:after="100" w:line="264"/>
      </w:pPr>
      <w:r>
        <w:rPr>
          <w:b w:val="false"/>
          <w:bCs w:val="false"/>
          <w:sz w:val="22"/>
          <w:szCs w:val="22"/>
        </w:rPr>
        <w:t xml:space="preserve">Budget scale and scrutiny: record nominal budgets coexist with tighter documentation enforcement; the compliance bar is rising, not falling.</w:t>
      </w:r>
    </w:p>
    <w:p>
      <w:pPr>
        <w:pStyle w:val="ListParagraph"/>
        <w:numPr>
          <w:ilvl w:val="0"/>
          <w:numId w:val="2"/>
        </w:numPr>
        <w:spacing w:after="100" w:line="264"/>
      </w:pPr>
      <w:r>
        <w:rPr>
          <w:b w:val="false"/>
          <w:bCs w:val="false"/>
          <w:sz w:val="22"/>
          <w:szCs w:val="22"/>
        </w:rPr>
        <w:t xml:space="preserve">Model capability: 2025–26 LLMs handle scanned, poorly structured 100+ page tender documents reliably enough for extraction-plus-human-review workflows — the technical unlock that did not exist three years ago.</w:t>
      </w:r>
    </w:p>
    <w:p>
      <w:pPr>
        <w:pStyle w:val="ListParagraph"/>
        <w:numPr>
          <w:ilvl w:val="0"/>
          <w:numId w:val="2"/>
        </w:numPr>
        <w:spacing w:after="100" w:line="264"/>
      </w:pPr>
      <w:r>
        <w:rPr>
          <w:b w:val="false"/>
          <w:bCs w:val="false"/>
          <w:sz w:val="22"/>
          <w:szCs w:val="22"/>
        </w:rPr>
        <w:t xml:space="preserve">Threshold reset (May 2025): decentralised approvals relocate the decisive gate to MDA tender boards, mandatory revised Standard Bidding Documents hand Valo a canonical template corpus, and formal prequalification thresholds create a recurring product line.</w:t>
      </w:r>
    </w:p>
    <w:p>
      <w:pPr>
        <w:pStyle w:val="ListParagraph"/>
        <w:numPr>
          <w:ilvl w:val="0"/>
          <w:numId w:val="2"/>
        </w:numPr>
        <w:spacing w:after="100" w:line="264"/>
      </w:pPr>
      <w:r>
        <w:rPr>
          <w:b w:val="false"/>
          <w:bCs w:val="false"/>
          <w:sz w:val="22"/>
          <w:szCs w:val="22"/>
        </w:rPr>
        <w:t xml:space="preserve">Founder window: the founder is physically in Abuja for the launch quarter, then permanently in Doha — matching an in-person validation phase followed by remote delivery, and opening the GCC extension (Section 17).</w:t>
      </w:r>
    </w:p>
    <w:p>
      <w:pPr>
        <w:pBdr>
          <w:bottom w:val="single" w:color="1F3A5F" w:sz="8" w:space="2"/>
        </w:pBdr>
        <w:spacing w:after="220" w:before="60"/>
      </w:pPr>
    </w:p>
    <w:p>
      <w:pPr>
        <w:pStyle w:val="Heading1"/>
        <w:spacing w:after="180" w:before="320"/>
      </w:pPr>
      <w:r>
        <w:t xml:space="preserve">3. The Problem</w:t>
      </w:r>
    </w:p>
    <w:p>
      <w:pPr>
        <w:pStyle w:val="Heading2"/>
        <w:spacing w:after="140" w:before="240"/>
      </w:pPr>
      <w:r>
        <w:t xml:space="preserve">3.1 The bidder's reality</w:t>
      </w:r>
    </w:p>
    <w:p>
      <w:pPr>
        <w:spacing w:after="160" w:before="0" w:line="276"/>
        <w:jc w:val="both"/>
      </w:pPr>
      <w:r>
        <w:rPr>
          <w:b w:val="false"/>
          <w:bCs w:val="false"/>
          <w:i w:val="false"/>
          <w:iCs w:val="false"/>
          <w:color w:val="222222"/>
          <w:sz w:val="22"/>
          <w:szCs w:val="22"/>
        </w:rPr>
        <w:t xml:space="preserve">A mid-sized Nigerian contractor pursuing federal, NipeX or donor work runs a permanent, low-grade document emergency. Tenders arrive as long, inconsistently structured PDFs — frequently scanned — with mandatory requirements scattered across instructions to bidders, technical specifications, and annexes. The compliance stack (tax clearance, PENCOM, ITF, NSITF, group life, audited accounts, BPP registration, professional certifications) is a set of dated artefacts that expire on their own schedules. Bills of quantities are re-keyed under deadline pressure. Technical narratives are recycled from the last bid and drift out of responsiveness. Submission is physical or portal-specific, formatted to the letter of the tender or rejected.</w:t>
      </w:r>
    </w:p>
    <w:p>
      <w:pPr>
        <w:pStyle w:val="Heading2"/>
        <w:spacing w:after="140" w:before="240"/>
      </w:pPr>
      <w:r>
        <w:t xml:space="preserve">3.2 The failure mode that matters</w:t>
      </w:r>
    </w:p>
    <w:p>
      <w:pPr>
        <w:spacing w:after="160" w:before="0" w:line="276"/>
        <w:jc w:val="both"/>
      </w:pPr>
      <w:r>
        <w:rPr>
          <w:b w:val="false"/>
          <w:bCs w:val="false"/>
          <w:i w:val="false"/>
          <w:iCs w:val="false"/>
          <w:color w:val="222222"/>
          <w:sz w:val="22"/>
          <w:szCs w:val="22"/>
        </w:rPr>
        <w:t xml:space="preserve">Bids fail in two ways. They lose on merit or relationships — outcomes no software controls — or they are declared non-responsive and never evaluated at all: an expired certificate, a missing sworn affidavit, an arithmetic inconsistency between unit rates and totals, a page limit breached, a signature omitted. The second failure mode is silent, common, and entirely preventable. It is also the most expensive kind of loss, because the bidder paid the full cost of pursuit — often ₦0.5–3 million in staff time, printing, bonds and certificates — and forfeited a contract worth hundreds of millions without ever being scored.</w:t>
      </w:r>
    </w:p>
    <w:p>
      <w:pPr>
        <w:pStyle w:val="Heading2"/>
        <w:spacing w:after="140" w:before="240"/>
      </w:pPr>
      <w:r>
        <w:t xml:space="preserve">3.3 Why the current coping mechanisms fail</w:t>
      </w:r>
    </w:p>
    <w:p>
      <w:pPr>
        <w:pStyle w:val="ListParagraph"/>
        <w:numPr>
          <w:ilvl w:val="0"/>
          <w:numId w:val="2"/>
        </w:numPr>
        <w:spacing w:after="100" w:line="264"/>
      </w:pPr>
      <w:r>
        <w:rPr>
          <w:b w:val="false"/>
          <w:bCs w:val="false"/>
          <w:sz w:val="22"/>
          <w:szCs w:val="22"/>
        </w:rPr>
        <w:t xml:space="preserve">In-house checklists: maintained in heads and spreadsheets; decay with staff turnover; no expiry telemetry on certificates.</w:t>
      </w:r>
    </w:p>
    <w:p>
      <w:pPr>
        <w:pStyle w:val="ListParagraph"/>
        <w:numPr>
          <w:ilvl w:val="0"/>
          <w:numId w:val="2"/>
        </w:numPr>
        <w:spacing w:after="100" w:line="264"/>
      </w:pPr>
      <w:r>
        <w:rPr>
          <w:b w:val="false"/>
          <w:bCs w:val="false"/>
          <w:sz w:val="22"/>
          <w:szCs w:val="22"/>
        </w:rPr>
        <w:t xml:space="preserve">Bid consultancies: ₦300k–2m per pursuit, quality varies with the individual consultant, capacity-constrained at deadline peaks, and no institutional memory accrues to the client.</w:t>
      </w:r>
    </w:p>
    <w:p>
      <w:pPr>
        <w:pStyle w:val="ListParagraph"/>
        <w:numPr>
          <w:ilvl w:val="0"/>
          <w:numId w:val="2"/>
        </w:numPr>
        <w:spacing w:after="100" w:line="264"/>
      </w:pPr>
      <w:r>
        <w:rPr>
          <w:b w:val="false"/>
          <w:bCs w:val="false"/>
          <w:sz w:val="22"/>
          <w:szCs w:val="22"/>
        </w:rPr>
        <w:t xml:space="preserve">Generic AI (free chat tools): drafts prose competently but holds no certificate vault, extracts no verified requirement checklist, performs no deterministic BOQ arithmetic, assembles no formatted package, and remembers nothing between pursuits.</w:t>
      </w:r>
    </w:p>
    <w:p>
      <w:pPr>
        <w:pStyle w:val="Heading2"/>
        <w:spacing w:after="140" w:before="240"/>
      </w:pPr>
      <w:r>
        <w:t xml:space="preserve">3.4 Problem statement</w:t>
      </w:r>
    </w:p>
    <w:p>
      <w:pPr>
        <w:spacing w:after="160" w:before="0" w:line="276"/>
        <w:jc w:val="both"/>
      </w:pPr>
      <w:r>
        <w:rPr>
          <w:b w:val="false"/>
          <w:bCs w:val="false"/>
          <w:i w:val="false"/>
          <w:iCs w:val="false"/>
          <w:color w:val="222222"/>
          <w:sz w:val="22"/>
          <w:szCs w:val="22"/>
        </w:rPr>
        <w:t xml:space="preserve">Nigerian bidders lack a system that (a) converts any tender into a verified, exhaustive compliance checklist; (b) knows, continuously, the state and expiry of every compliance artefact the firm owns; (c) drafts responsive technical content from the firm's actual, evidenced capabilities; (d) verifies the arithmetic and formatting a human under deadline pressure gets wrong; and (e) assembles the final package to specification — with a human professional in the loop and an audit trail throughout. Valo is that system, delivered first as an expert service and progressively as software.</w:t>
      </w:r>
    </w:p>
    <w:p>
      <w:pPr>
        <w:pBdr>
          <w:bottom w:val="single" w:color="1F3A5F" w:sz="8" w:space="2"/>
        </w:pBdr>
        <w:spacing w:after="220" w:before="60"/>
      </w:pPr>
    </w:p>
    <w:p>
      <w:pPr>
        <w:pStyle w:val="Heading1"/>
        <w:spacing w:after="180" w:before="320"/>
      </w:pPr>
      <w:r>
        <w:t xml:space="preserve">4. The Product</w:t>
      </w:r>
    </w:p>
    <w:p>
      <w:pPr>
        <w:pStyle w:val="Heading2"/>
        <w:spacing w:after="140" w:before="240"/>
      </w:pPr>
      <w:r>
        <w:t xml:space="preserve">4.1 Product line overview</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300"/>
        <w:gridCol w:w="5460"/>
        <w:gridCol w:w="1600"/>
      </w:tblGrid>
      <w:tr>
        <w:trPr>
          <w:tblHeader/>
        </w:trPr>
        <w:tc>
          <w:tcPr>
            <w:tcW w:type="dxa" w:w="23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Offering</w:t>
            </w:r>
          </w:p>
        </w:tc>
        <w:tc>
          <w:tcPr>
            <w:tcW w:type="dxa" w:w="54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What the client gets</w:t>
            </w:r>
          </w:p>
        </w:tc>
        <w:tc>
          <w:tcPr>
            <w:tcW w:type="dxa" w:w="16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Phase</w:t>
            </w:r>
          </w:p>
        </w:tc>
      </w:tr>
      <w:tr>
        <w:tc>
          <w:tcPr>
            <w:tcW w:type="dxa" w:w="2300"/>
            <w:tcMar>
              <w:top w:type="dxa" w:w="70"/>
              <w:left w:type="dxa" w:w="110"/>
              <w:bottom w:type="dxa" w:w="70"/>
              <w:right w:type="dxa" w:w="110"/>
            </w:tcMar>
            <w:vAlign w:val="center"/>
          </w:tcPr>
          <w:p>
            <w:pPr>
              <w:spacing w:after="0" w:line="240"/>
              <w:jc w:val="left"/>
            </w:pPr>
            <w:r>
              <w:rPr>
                <w:b/>
                <w:bCs/>
                <w:color w:val="222222"/>
                <w:sz w:val="20"/>
                <w:szCs w:val="20"/>
              </w:rPr>
              <w:t xml:space="preserve">Bid Autopsy</w:t>
            </w:r>
          </w:p>
        </w:tc>
        <w:tc>
          <w:tcPr>
            <w:tcW w:type="dxa" w:w="54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Forensic defect-and-risk report on a past or live bid vs. its tender: extracted requirement matrix, compliance defects, disqualification-risk scoring, evaluation-responsiveness gaps.</w:t>
            </w:r>
          </w:p>
        </w:tc>
        <w:tc>
          <w:tcPr>
            <w:tcW w:type="dxa" w:w="16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0–1</w:t>
            </w:r>
          </w:p>
        </w:tc>
      </w:tr>
      <w:tr>
        <w:tc>
          <w:tcPr>
            <w:tcW w:type="dxa" w:w="23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Assisted Bid</w:t>
            </w:r>
          </w:p>
        </w:tc>
        <w:tc>
          <w:tcPr>
            <w:tcW w:type="dxa" w:w="54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Full production of a submission-ready package: requirement matrix, compliance assembly from the client's Certificate Vault, AI-drafted technical sections from the Capability Library, deterministic BOQ verification, formatting and tabbing to tender spec, pre-submission red-team review.</w:t>
            </w:r>
          </w:p>
        </w:tc>
        <w:tc>
          <w:tcPr>
            <w:tcW w:type="dxa" w:w="16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w:t>
            </w:r>
          </w:p>
        </w:tc>
      </w:tr>
      <w:tr>
        <w:tc>
          <w:tcPr>
            <w:tcW w:type="dxa" w:w="2300"/>
            <w:tcMar>
              <w:top w:type="dxa" w:w="70"/>
              <w:left w:type="dxa" w:w="110"/>
              <w:bottom w:type="dxa" w:w="70"/>
              <w:right w:type="dxa" w:w="110"/>
            </w:tcMar>
            <w:vAlign w:val="center"/>
          </w:tcPr>
          <w:p>
            <w:pPr>
              <w:spacing w:after="0" w:line="240"/>
              <w:jc w:val="left"/>
            </w:pPr>
            <w:r>
              <w:rPr>
                <w:b/>
                <w:bCs/>
                <w:color w:val="222222"/>
                <w:sz w:val="20"/>
                <w:szCs w:val="20"/>
              </w:rPr>
              <w:t xml:space="preserve">Prequalification Pack</w:t>
            </w:r>
          </w:p>
        </w:tc>
        <w:tc>
          <w:tcPr>
            <w:tcW w:type="dxa" w:w="54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End-to-end production of prequalification submissions under the formal thresholds (₦500m+ goods/non-consultant services; ₦1bn+ works): eligibility matrix, Vault-driven document assembly, gap-and-renewal remediation plan.</w:t>
            </w:r>
          </w:p>
        </w:tc>
        <w:tc>
          <w:tcPr>
            <w:tcW w:type="dxa" w:w="16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1</w:t>
            </w:r>
          </w:p>
        </w:tc>
      </w:tr>
      <w:tr>
        <w:tc>
          <w:tcPr>
            <w:tcW w:type="dxa" w:w="23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Disqualification-Defense Retainer</w:t>
            </w:r>
          </w:p>
        </w:tc>
        <w:tc>
          <w:tcPr>
            <w:tcW w:type="dxa" w:w="54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Continuous service in three tiers (Starter / Growth / Enterprise, §8.1): Certificate Vault with expiry telemetry and renewal calendar, tender-pipeline monitoring via licensed aggregator feeds, autopsies and assisted bids per tier definition, priority deadline support.</w:t>
            </w:r>
          </w:p>
        </w:tc>
        <w:tc>
          <w:tcPr>
            <w:tcW w:type="dxa" w:w="16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1–2</w:t>
            </w:r>
          </w:p>
        </w:tc>
      </w:tr>
      <w:tr>
        <w:tc>
          <w:tcPr>
            <w:tcW w:type="dxa" w:w="2300"/>
            <w:tcMar>
              <w:top w:type="dxa" w:w="70"/>
              <w:left w:type="dxa" w:w="110"/>
              <w:bottom w:type="dxa" w:w="70"/>
              <w:right w:type="dxa" w:w="110"/>
            </w:tcMar>
            <w:vAlign w:val="center"/>
          </w:tcPr>
          <w:p>
            <w:pPr>
              <w:spacing w:after="0" w:line="240"/>
              <w:jc w:val="left"/>
            </w:pPr>
            <w:r>
              <w:rPr>
                <w:b/>
                <w:bCs/>
                <w:color w:val="222222"/>
                <w:sz w:val="20"/>
                <w:szCs w:val="20"/>
              </w:rPr>
              <w:t xml:space="preserve">Valo Platform (self-serve)</w:t>
            </w:r>
          </w:p>
        </w:tc>
        <w:tc>
          <w:tcPr>
            <w:tcW w:type="dxa" w:w="54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Software tiers: Vault + monitoring; autopsy engine on demand; guided assisted-bid workspace with human QA add-on.</w:t>
            </w:r>
          </w:p>
        </w:tc>
        <w:tc>
          <w:tcPr>
            <w:tcW w:type="dxa" w:w="16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2–3</w:t>
            </w:r>
          </w:p>
        </w:tc>
      </w:tr>
      <w:tr>
        <w:tc>
          <w:tcPr>
            <w:tcW w:type="dxa" w:w="23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GCC Edition</w:t>
            </w:r>
          </w:p>
        </w:tc>
        <w:tc>
          <w:tcPr>
            <w:tcW w:type="dxa" w:w="54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The same engine localised for Gulf government tendering portals (Qatar first), bilingual EN/AR.</w:t>
            </w:r>
          </w:p>
        </w:tc>
        <w:tc>
          <w:tcPr>
            <w:tcW w:type="dxa" w:w="16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3</w:t>
            </w:r>
          </w:p>
        </w:tc>
      </w:tr>
    </w:tbl>
    <w:p>
      <w:pPr>
        <w:spacing w:after="120"/>
      </w:pPr>
    </w:p>
    <w:p>
      <w:pPr>
        <w:pStyle w:val="Heading2"/>
        <w:spacing w:after="140" w:before="240"/>
      </w:pPr>
      <w:r>
        <w:t xml:space="preserve">4.2 The Bid Autopsy in detail (the wedge)</w:t>
      </w:r>
    </w:p>
    <w:p>
      <w:pPr>
        <w:spacing w:after="160" w:before="0" w:line="276"/>
        <w:jc w:val="both"/>
      </w:pPr>
      <w:r>
        <w:rPr>
          <w:b w:val="false"/>
          <w:bCs w:val="false"/>
          <w:i w:val="false"/>
          <w:iCs w:val="false"/>
          <w:color w:val="222222"/>
          <w:sz w:val="22"/>
          <w:szCs w:val="22"/>
        </w:rPr>
        <w:t xml:space="preserve">Input: the original tender document set plus the client's submitted (or draft) package, under NDA. Output within five working days (48 hours for live pursuits): a structured report comprising (1) a requirement matrix — every mandatory item, with source page/paragraph citation; (2) a defect register — each defect classified by type (validity/expiry, omission, arithmetic, formatting, responsiveness, eligibility) and severity (fatal / likely-fatal / scoring-risk / cosmetic); (3) a disqualification-risk score for the package as a whole; (4) an evaluation-responsiveness review of the technical narrative against the published criteria; and (5) a prioritised remediation plan. Appendix A specifies the full report structure. The autopsy either explains a loss a client has been rationalising, or rescues a live pursuit — both experiences convert.</w:t>
      </w:r>
    </w:p>
    <w:p>
      <w:pPr>
        <w:pStyle w:val="Heading2"/>
        <w:spacing w:after="140" w:before="240"/>
      </w:pPr>
      <w:r>
        <w:t xml:space="preserve">4.3 The engine components</w:t>
      </w:r>
    </w:p>
    <w:p>
      <w:pPr>
        <w:pStyle w:val="ListParagraph"/>
        <w:numPr>
          <w:ilvl w:val="0"/>
          <w:numId w:val="2"/>
        </w:numPr>
        <w:spacing w:after="100" w:line="264"/>
      </w:pPr>
      <w:r>
        <w:rPr>
          <w:b w:val="false"/>
          <w:bCs w:val="false"/>
          <w:sz w:val="22"/>
          <w:szCs w:val="22"/>
        </w:rPr>
        <w:t xml:space="preserve">Requirement Extractor: LLM pipeline that shreds tender documents (including OCR of scanned pages) into a candidate requirement list; every extracted item carries a source citation and is confirmed by a human reviewer before entering the matrix. Extraction recall is a tracked KPI from day one.</w:t>
      </w:r>
    </w:p>
    <w:p>
      <w:pPr>
        <w:pStyle w:val="ListParagraph"/>
        <w:numPr>
          <w:ilvl w:val="0"/>
          <w:numId w:val="2"/>
        </w:numPr>
        <w:spacing w:after="100" w:line="264"/>
      </w:pPr>
      <w:r>
        <w:rPr>
          <w:b w:val="false"/>
          <w:bCs w:val="false"/>
          <w:sz w:val="22"/>
          <w:szCs w:val="22"/>
        </w:rPr>
        <w:t xml:space="preserve">Compliance Checklist State Machine: deterministic. Each requirement becomes a state with owner, evidence slot, and status; a package cannot be marked submission-ready with any fatal state open.</w:t>
      </w:r>
    </w:p>
    <w:p>
      <w:pPr>
        <w:pStyle w:val="ListParagraph"/>
        <w:numPr>
          <w:ilvl w:val="0"/>
          <w:numId w:val="2"/>
        </w:numPr>
        <w:spacing w:after="100" w:line="264"/>
      </w:pPr>
      <w:r>
        <w:rPr>
          <w:b w:val="false"/>
          <w:bCs w:val="false"/>
          <w:sz w:val="22"/>
          <w:szCs w:val="22"/>
        </w:rPr>
        <w:t xml:space="preserve">Certificate Vault: structured store of the client's compliance artefacts with issue/expiry dates, issuing-body metadata, renewal lead times and automated expiry telemetry. The vault is the retention engine: its value compounds and it is painful to leave.</w:t>
      </w:r>
    </w:p>
    <w:p>
      <w:pPr>
        <w:pStyle w:val="ListParagraph"/>
        <w:numPr>
          <w:ilvl w:val="0"/>
          <w:numId w:val="2"/>
        </w:numPr>
        <w:spacing w:after="100" w:line="264"/>
      </w:pPr>
      <w:r>
        <w:rPr>
          <w:b w:val="false"/>
          <w:bCs w:val="false"/>
          <w:sz w:val="22"/>
          <w:szCs w:val="22"/>
        </w:rPr>
        <w:t xml:space="preserve">Capability Library: curated, evidence-linked record of the client's past performance, key personnel, equipment and certifications — the grounded corpus from which technical narratives are drafted. Claims without evidence links cannot be inserted into drafts (an anti-fabrication control, see Section 15).</w:t>
      </w:r>
    </w:p>
    <w:p>
      <w:pPr>
        <w:pStyle w:val="ListParagraph"/>
        <w:numPr>
          <w:ilvl w:val="0"/>
          <w:numId w:val="2"/>
        </w:numPr>
        <w:spacing w:after="100" w:line="264"/>
      </w:pPr>
      <w:r>
        <w:rPr>
          <w:b w:val="false"/>
          <w:bCs w:val="false"/>
          <w:sz w:val="22"/>
          <w:szCs w:val="22"/>
        </w:rPr>
        <w:t xml:space="preserve">BOQ Verifier: deterministic arithmetic and consistency checking across unit rates, quantities, extensions, summaries and words-vs-figures amounts.</w:t>
      </w:r>
    </w:p>
    <w:p>
      <w:pPr>
        <w:pStyle w:val="ListParagraph"/>
        <w:numPr>
          <w:ilvl w:val="0"/>
          <w:numId w:val="2"/>
        </w:numPr>
        <w:spacing w:after="100" w:line="264"/>
      </w:pPr>
      <w:r>
        <w:rPr>
          <w:b w:val="false"/>
          <w:bCs w:val="false"/>
          <w:sz w:val="22"/>
          <w:szCs w:val="22"/>
        </w:rPr>
        <w:t xml:space="preserve">Drafting Engine: LLM generation of responsive technical sections, grounded in the Capability Library, structured against the tender's own evaluation criteria, in the client's voice; all output flows to human review.</w:t>
      </w:r>
    </w:p>
    <w:p>
      <w:pPr>
        <w:pStyle w:val="ListParagraph"/>
        <w:numPr>
          <w:ilvl w:val="0"/>
          <w:numId w:val="2"/>
        </w:numPr>
        <w:spacing w:after="100" w:line="264"/>
      </w:pPr>
      <w:r>
        <w:rPr>
          <w:b w:val="false"/>
          <w:bCs w:val="false"/>
          <w:sz w:val="22"/>
          <w:szCs w:val="22"/>
        </w:rPr>
        <w:t xml:space="preserve">Assembly Engine: programmatic document production (the founder's existing docx pipeline discipline) — formatting, pagination, tabbing, cross-referencing, and final package generation to the tender's stated specification.</w:t>
      </w:r>
    </w:p>
    <w:p>
      <w:pPr>
        <w:pStyle w:val="ListParagraph"/>
        <w:numPr>
          <w:ilvl w:val="0"/>
          <w:numId w:val="2"/>
        </w:numPr>
        <w:spacing w:after="100" w:line="264"/>
      </w:pPr>
      <w:r>
        <w:rPr>
          <w:b w:val="false"/>
          <w:bCs w:val="false"/>
          <w:sz w:val="22"/>
          <w:szCs w:val="22"/>
        </w:rPr>
        <w:t xml:space="preserve">Red-Team Scorer: adversarial pass that scores the near-final package against the requirement matrix and evaluation criteria, simulating a hostile evaluator hunting reasons to reject.</w:t>
      </w:r>
    </w:p>
    <w:p>
      <w:pPr>
        <w:pStyle w:val="Heading2"/>
        <w:spacing w:after="140" w:before="240"/>
      </w:pPr>
      <w:r>
        <w:t xml:space="preserve">4.4 What Valo deliberately does not do</w:t>
      </w:r>
    </w:p>
    <w:p>
      <w:pPr>
        <w:pStyle w:val="ListParagraph"/>
        <w:numPr>
          <w:ilvl w:val="0"/>
          <w:numId w:val="2"/>
        </w:numPr>
        <w:spacing w:after="100" w:line="264"/>
      </w:pPr>
      <w:r>
        <w:rPr>
          <w:b w:val="false"/>
          <w:bCs w:val="false"/>
          <w:sz w:val="22"/>
          <w:szCs w:val="22"/>
        </w:rPr>
        <w:t xml:space="preserve">No pricing strategy or financial-bid preparation by default: clients' commercial numbers are their own; Valo verifies arithmetic and format only, on client-supplied figures. (Reduces confidentiality anxiety and conflict surface; can be revisited per client with explicit walls.)</w:t>
      </w:r>
    </w:p>
    <w:p>
      <w:pPr>
        <w:pStyle w:val="ListParagraph"/>
        <w:numPr>
          <w:ilvl w:val="0"/>
          <w:numId w:val="2"/>
        </w:numPr>
        <w:spacing w:after="100" w:line="264"/>
      </w:pPr>
      <w:r>
        <w:rPr>
          <w:b w:val="false"/>
          <w:bCs w:val="false"/>
          <w:sz w:val="22"/>
          <w:szCs w:val="22"/>
        </w:rPr>
        <w:t xml:space="preserve">No relationship brokering, no facilitation of any kind, no intelligence on evaluators. Valo's integrity red lines are absolute and commercial (Section 15).</w:t>
      </w:r>
    </w:p>
    <w:p>
      <w:pPr>
        <w:pStyle w:val="ListParagraph"/>
        <w:numPr>
          <w:ilvl w:val="0"/>
          <w:numId w:val="2"/>
        </w:numPr>
        <w:spacing w:after="100" w:line="264"/>
      </w:pPr>
      <w:r>
        <w:rPr>
          <w:b w:val="false"/>
          <w:bCs w:val="false"/>
          <w:sz w:val="22"/>
          <w:szCs w:val="22"/>
        </w:rPr>
        <w:t xml:space="preserve">No opportunity-discovery product: aggregator feeds are licensed, not rebuilt.</w:t>
      </w:r>
    </w:p>
    <w:p>
      <w:pPr>
        <w:pBdr>
          <w:bottom w:val="single" w:color="1F3A5F" w:sz="8" w:space="2"/>
        </w:pBdr>
        <w:spacing w:after="220" w:before="60"/>
      </w:pPr>
    </w:p>
    <w:p>
      <w:pPr>
        <w:pStyle w:val="Heading1"/>
        <w:spacing w:after="180" w:before="320"/>
      </w:pPr>
      <w:r>
        <w:t xml:space="preserve">5. Architecture &amp; Technology</w:t>
      </w:r>
    </w:p>
    <w:p>
      <w:pPr>
        <w:pStyle w:val="Heading2"/>
        <w:spacing w:after="140" w:before="240"/>
      </w:pPr>
      <w:r>
        <w:t xml:space="preserve">5.1 Design doctrine</w:t>
      </w:r>
    </w:p>
    <w:p>
      <w:pPr>
        <w:spacing w:after="160" w:before="0" w:line="276"/>
        <w:jc w:val="both"/>
      </w:pPr>
      <w:r>
        <w:rPr>
          <w:b w:val="false"/>
          <w:bCs w:val="false"/>
          <w:i w:val="false"/>
          <w:iCs w:val="false"/>
          <w:color w:val="222222"/>
          <w:sz w:val="22"/>
          <w:szCs w:val="22"/>
        </w:rPr>
        <w:t xml:space="preserve">Deterministic core, LLM shell. Everything that must be exactly right — checklist state, expiry dates, arithmetic, assembly — is conventional software with tests. Everything that benefits from language intelligence — extraction, drafting, summarisation, red-teaming — is an LLM stage whose output is either verified by the deterministic layer or reviewed by a human before it can affect a deliverable. No client-visible artefact ships without a named human sign-off in Phase 0–1.</w:t>
      </w:r>
    </w:p>
    <w:p>
      <w:pPr>
        <w:pStyle w:val="Heading2"/>
        <w:spacing w:after="140" w:before="240"/>
      </w:pPr>
      <w:r>
        <w:t xml:space="preserve">5.2 Stack</w:t>
      </w:r>
    </w:p>
    <w:p>
      <w:pPr>
        <w:pStyle w:val="ListParagraph"/>
        <w:numPr>
          <w:ilvl w:val="0"/>
          <w:numId w:val="2"/>
        </w:numPr>
        <w:spacing w:after="100" w:line="264"/>
      </w:pPr>
      <w:r>
        <w:rPr>
          <w:b w:val="false"/>
          <w:bCs w:val="false"/>
          <w:sz w:val="22"/>
          <w:szCs w:val="22"/>
        </w:rPr>
        <w:t xml:space="preserve">Backend and pipelines: Python (extraction/OCR/orchestration) and Node.js (document assembly via the founder's existing docx toolchain).</w:t>
      </w:r>
    </w:p>
    <w:p>
      <w:pPr>
        <w:pStyle w:val="ListParagraph"/>
        <w:numPr>
          <w:ilvl w:val="0"/>
          <w:numId w:val="2"/>
        </w:numPr>
        <w:spacing w:after="100" w:line="264"/>
      </w:pPr>
      <w:r>
        <w:rPr>
          <w:b w:val="false"/>
          <w:bCs w:val="false"/>
          <w:sz w:val="22"/>
          <w:szCs w:val="22"/>
        </w:rPr>
        <w:t xml:space="preserve">Models: frontier hosted LLMs for extraction and drafting via API, with per-client data-isolation settings; local/open-weight fallback evaluated in Phase 2 for clients demanding in-country processing.</w:t>
      </w:r>
    </w:p>
    <w:p>
      <w:pPr>
        <w:pStyle w:val="ListParagraph"/>
        <w:numPr>
          <w:ilvl w:val="0"/>
          <w:numId w:val="2"/>
        </w:numPr>
        <w:spacing w:after="100" w:line="264"/>
      </w:pPr>
      <w:r>
        <w:rPr>
          <w:b w:val="false"/>
          <w:bCs w:val="false"/>
          <w:sz w:val="22"/>
          <w:szCs w:val="22"/>
        </w:rPr>
        <w:t xml:space="preserve">OCR: layout-aware OCR tuned on Nigerian tender scans (a small but real moat — these documents are distinctive).</w:t>
      </w:r>
    </w:p>
    <w:p>
      <w:pPr>
        <w:pStyle w:val="ListParagraph"/>
        <w:numPr>
          <w:ilvl w:val="0"/>
          <w:numId w:val="2"/>
        </w:numPr>
        <w:spacing w:after="100" w:line="264"/>
      </w:pPr>
      <w:r>
        <w:rPr>
          <w:b w:val="false"/>
          <w:bCs w:val="false"/>
          <w:sz w:val="22"/>
          <w:szCs w:val="22"/>
        </w:rPr>
        <w:t xml:space="preserve">Storage and security: encrypted at rest, Nigerian-hosted or region-pinned storage options, per-client tenancy isolation, role-based access, full audit logging.</w:t>
      </w:r>
    </w:p>
    <w:p>
      <w:pPr>
        <w:pStyle w:val="ListParagraph"/>
        <w:numPr>
          <w:ilvl w:val="0"/>
          <w:numId w:val="2"/>
        </w:numPr>
        <w:spacing w:after="100" w:line="264"/>
      </w:pPr>
      <w:r>
        <w:rPr>
          <w:b w:val="false"/>
          <w:bCs w:val="false"/>
          <w:sz w:val="22"/>
          <w:szCs w:val="22"/>
        </w:rPr>
        <w:t xml:space="preserve">Delivery: reports and packages as controlled documents; client interaction via WhatsApp Business and email in Phase 1 (matching how Abuja actually works), web portal in Phase 2.</w:t>
      </w:r>
    </w:p>
    <w:p>
      <w:pPr>
        <w:pStyle w:val="Heading2"/>
        <w:spacing w:after="140" w:before="240"/>
      </w:pPr>
      <w:r>
        <w:t xml:space="preserve">5.3 Data protection</w:t>
      </w:r>
    </w:p>
    <w:p>
      <w:pPr>
        <w:spacing w:after="160" w:before="0" w:line="276"/>
        <w:jc w:val="both"/>
      </w:pPr>
      <w:r>
        <w:rPr>
          <w:b w:val="false"/>
          <w:bCs w:val="false"/>
          <w:i w:val="false"/>
          <w:iCs w:val="false"/>
          <w:color w:val="222222"/>
          <w:sz w:val="22"/>
          <w:szCs w:val="22"/>
        </w:rPr>
        <w:t xml:space="preserve">Valo processes commercially sensitive client documents and personal data of key personnel. The venture operates under the Nigeria Data Protection Act from day one: records of processing, data-processing agreements with every client, breach procedures, and NDPC registration at the applicable threshold. Client data is never used to train shared models; per-client grounding corpora are logically isolated. These are sales assets as much as legal duties.</w:t>
      </w:r>
    </w:p>
    <w:p>
      <w:pPr>
        <w:pStyle w:val="Heading2"/>
        <w:spacing w:after="140" w:before="240"/>
      </w:pPr>
      <w:r>
        <w:t xml:space="preserve">5.4 Build sequencing and founder-effort budget</w:t>
      </w:r>
    </w:p>
    <w:p>
      <w:pPr>
        <w:spacing w:after="160" w:before="0" w:line="276"/>
        <w:jc w:val="both"/>
      </w:pPr>
      <w:r>
        <w:rPr>
          <w:b w:val="false"/>
          <w:bCs w:val="false"/>
          <w:i w:val="false"/>
          <w:iCs w:val="false"/>
          <w:color w:val="222222"/>
          <w:sz w:val="22"/>
          <w:szCs w:val="22"/>
        </w:rPr>
        <w:t xml:space="preserve">Gate 0 requires only the Autopsy pipeline v0 (extractor + checklist + report generator), an estimated two to three weeks of founder engineering, largely assembled from existing document-factory components. The Vault, BOQ Verifier and Assembly Engine v1 follow in Phase 1 (Months 3–6). The self-serve platform is a Phase 2 decision taken only after service revenue proves willingness to pay. Total founder engineering budget to end of Phase 1: roughly 350–450 hours, explicitly timeboxed so the venture cannot silently cannibalise the founder's other commitments.</w:t>
      </w:r>
    </w:p>
    <w:p>
      <w:pPr>
        <w:pBdr>
          <w:bottom w:val="single" w:color="1F3A5F" w:sz="8" w:space="2"/>
        </w:pBdr>
        <w:spacing w:after="220" w:before="60"/>
      </w:pPr>
    </w:p>
    <w:p>
      <w:pPr>
        <w:pStyle w:val="Heading1"/>
        <w:spacing w:after="180" w:before="320"/>
      </w:pPr>
      <w:r>
        <w:t xml:space="preserve">6. Target Segments &amp; Market Sizing</w:t>
      </w:r>
    </w:p>
    <w:p>
      <w:pPr>
        <w:pStyle w:val="Heading2"/>
        <w:spacing w:after="140" w:before="240"/>
      </w:pPr>
      <w:r>
        <w:t xml:space="preserve">6.1 Segments, in rising order of merit-sensitivity</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000"/>
        <w:gridCol w:w="2600"/>
        <w:gridCol w:w="2760"/>
        <w:gridCol w:w="2000"/>
      </w:tblGrid>
      <w:tr>
        <w:trPr>
          <w:tblHeader/>
        </w:trPr>
        <w:tc>
          <w:tcPr>
            <w:tcW w:type="dxa" w:w="20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Segment</w:t>
            </w:r>
          </w:p>
        </w:tc>
        <w:tc>
          <w:tcPr>
            <w:tcW w:type="dxa" w:w="26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Profile</w:t>
            </w:r>
          </w:p>
        </w:tc>
        <w:tc>
          <w:tcPr>
            <w:tcW w:type="dxa" w:w="27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Why they buy</w:t>
            </w:r>
          </w:p>
        </w:tc>
        <w:tc>
          <w:tcPr>
            <w:tcW w:type="dxa" w:w="20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Notes</w:t>
            </w:r>
          </w:p>
        </w:tc>
      </w:tr>
      <w:tr>
        <w:tc>
          <w:tcPr>
            <w:tcW w:type="dxa" w:w="2000"/>
            <w:tcMar>
              <w:top w:type="dxa" w:w="70"/>
              <w:left w:type="dxa" w:w="110"/>
              <w:bottom w:type="dxa" w:w="70"/>
              <w:right w:type="dxa" w:w="110"/>
            </w:tcMar>
            <w:vAlign w:val="center"/>
          </w:tcPr>
          <w:p>
            <w:pPr>
              <w:spacing w:after="0" w:line="240"/>
              <w:jc w:val="left"/>
            </w:pPr>
            <w:r>
              <w:rPr>
                <w:b/>
                <w:bCs/>
                <w:color w:val="222222"/>
                <w:sz w:val="20"/>
                <w:szCs w:val="20"/>
              </w:rPr>
              <w:t xml:space="preserve">Federal BPP contractors</w:t>
            </w:r>
          </w:p>
        </w:tc>
        <w:tc>
          <w:tcPr>
            <w:tcW w:type="dxa" w:w="26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Registered CCSP firms bidding MDA works, goods and services; concentrated in Abuja.</w:t>
            </w:r>
          </w:p>
        </w:tc>
        <w:tc>
          <w:tcPr>
            <w:tcW w:type="dxa" w:w="2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Disqualification defense at MDA tender-board level; prequalification packages at the formal ₦500m/₦1bn thresholds; certificate churn.</w:t>
            </w:r>
          </w:p>
        </w:tc>
        <w:tc>
          <w:tcPr>
            <w:tcW w:type="dxa" w:w="20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Largest pool; relational awards cap the merit upside but never remove the responsiveness gate.</w:t>
            </w:r>
          </w:p>
        </w:tc>
      </w:tr>
      <w:tr>
        <w:tc>
          <w:tcPr>
            <w:tcW w:type="dxa" w:w="20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NipeX / NCDMB suppliers</w:t>
            </w:r>
          </w:p>
        </w:tc>
        <w:tc>
          <w:tcPr>
            <w:tcW w:type="dxa" w:w="26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Oil &amp; gas service firms under local-content mandates; many first-time formal bidders.</w:t>
            </w:r>
          </w:p>
        </w:tc>
        <w:tc>
          <w:tcPr>
            <w:tcW w:type="dxa" w:w="2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High contract values; unforgiving prequalification and technical formats; local-content documentation.</w:t>
            </w:r>
          </w:p>
        </w:tc>
        <w:tc>
          <w:tcPr>
            <w:tcW w:type="dxa" w:w="20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Priority segment: highest willingness to pay, structurally growing (70% content target by 2027).</w:t>
            </w:r>
          </w:p>
        </w:tc>
      </w:tr>
      <w:tr>
        <w:tc>
          <w:tcPr>
            <w:tcW w:type="dxa" w:w="2000"/>
            <w:tcMar>
              <w:top w:type="dxa" w:w="70"/>
              <w:left w:type="dxa" w:w="110"/>
              <w:bottom w:type="dxa" w:w="70"/>
              <w:right w:type="dxa" w:w="110"/>
            </w:tcMar>
            <w:vAlign w:val="center"/>
          </w:tcPr>
          <w:p>
            <w:pPr>
              <w:spacing w:after="0" w:line="240"/>
              <w:jc w:val="left"/>
            </w:pPr>
            <w:r>
              <w:rPr>
                <w:b/>
                <w:bCs/>
                <w:color w:val="222222"/>
                <w:sz w:val="20"/>
                <w:szCs w:val="20"/>
              </w:rPr>
              <w:t xml:space="preserve">Donor-funded bidders</w:t>
            </w:r>
          </w:p>
        </w:tc>
        <w:tc>
          <w:tcPr>
            <w:tcW w:type="dxa" w:w="26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Firms and NGOs bidding World Bank / AfDB / multilateral tenders from Abuja country offices.</w:t>
            </w:r>
          </w:p>
        </w:tc>
        <w:tc>
          <w:tcPr>
            <w:tcW w:type="dxa" w:w="2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Most merit-based evaluation; strict standard bidding documents; USD-denominated budgets.</w:t>
            </w:r>
          </w:p>
        </w:tc>
        <w:tc>
          <w:tcPr>
            <w:tcW w:type="dxa" w:w="20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Best proof-ground for win-rate claims; gateway to regional (non-Nigerian) donor tenders.</w:t>
            </w:r>
          </w:p>
        </w:tc>
      </w:tr>
      <w:tr>
        <w:tc>
          <w:tcPr>
            <w:tcW w:type="dxa" w:w="20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Bid consultancies (channel)</w:t>
            </w:r>
          </w:p>
        </w:tc>
        <w:tc>
          <w:tcPr>
            <w:tcW w:type="dxa" w:w="26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Existing Abuja/Lagos bid-writing and compliance firms.</w:t>
            </w:r>
          </w:p>
        </w:tc>
        <w:tc>
          <w:tcPr>
            <w:tcW w:type="dxa" w:w="2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Capacity multiplication at deadline peaks; white-label autopsies.</w:t>
            </w:r>
          </w:p>
        </w:tc>
        <w:tc>
          <w:tcPr>
            <w:tcW w:type="dxa" w:w="20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Channel, not competitor: revenue-share white-label programme in Phase 2.</w:t>
            </w:r>
          </w:p>
        </w:tc>
      </w:tr>
    </w:tbl>
    <w:p>
      <w:pPr>
        <w:spacing w:after="120"/>
      </w:pPr>
    </w:p>
    <w:p>
      <w:pPr>
        <w:pStyle w:val="Heading2"/>
        <w:spacing w:after="140" w:before="240"/>
      </w:pPr>
      <w:r>
        <w:t xml:space="preserve">6.2 Sizing (founder estimates — to be re-verified at Gate 0)</w:t>
      </w:r>
    </w:p>
    <w:p>
      <w:pPr>
        <w:spacing w:after="160" w:before="0" w:line="276"/>
        <w:jc w:val="both"/>
      </w:pPr>
      <w:r>
        <w:rPr>
          <w:b w:val="false"/>
          <w:bCs w:val="false"/>
          <w:i w:val="false"/>
          <w:iCs w:val="false"/>
          <w:color w:val="222222"/>
          <w:sz w:val="22"/>
          <w:szCs w:val="22"/>
        </w:rPr>
        <w:t xml:space="preserve">The BPP national contractor database registers tens of thousands of firms; the commercially relevant population is the active, repeat-bidding core. Founder's working estimate: 3,000–6,000 organisations across the three buying segments bid seriously and repeatedly each year (multiple pursuits, professionalised operations, ability to pay). Taking 4,500 as the midpoint and ₦2.4m as a blended annual spend per active client across autopsies, assisted bids and retainers yields a serviceable market of roughly ₦10.8 billion per year (≈ US$7.2m) — modest by global SaaS standards, honest for Nigeria, and sufficient: the Base case requires roughly two percent penetration by Month 36, before any GCC contribution.</w:t>
      </w:r>
    </w:p>
    <w:p>
      <w:pPr>
        <w:spacing w:after="160" w:before="0" w:line="276"/>
        <w:jc w:val="both"/>
      </w:pPr>
      <w:r>
        <w:rPr>
          <w:b w:val="false"/>
          <w:bCs w:val="false"/>
          <w:i/>
          <w:iCs/>
          <w:color w:val="222222"/>
          <w:sz w:val="22"/>
          <w:szCs w:val="22"/>
        </w:rPr>
        <w:t xml:space="preserve">This sizing is the plan's least-verified number. Gate 0 interviews explicitly collect bid-frequency and spend data to replace it.</w:t>
      </w:r>
    </w:p>
    <w:p>
      <w:pPr>
        <w:pBdr>
          <w:bottom w:val="single" w:color="1F3A5F" w:sz="8" w:space="2"/>
        </w:pBdr>
        <w:spacing w:after="220" w:before="60"/>
      </w:pPr>
    </w:p>
    <w:p>
      <w:pPr>
        <w:pStyle w:val="Heading1"/>
        <w:spacing w:after="180" w:before="320"/>
      </w:pPr>
      <w:r>
        <w:t xml:space="preserve">7. Competitive Landscape</w:t>
      </w:r>
    </w:p>
    <w:p>
      <w:pPr>
        <w:pStyle w:val="Heading2"/>
        <w:spacing w:after="140" w:before="240"/>
      </w:pPr>
      <w:r>
        <w:t xml:space="preserve">7.1 Map</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300"/>
        <w:gridCol w:w="2600"/>
        <w:gridCol w:w="2130"/>
        <w:gridCol w:w="2330"/>
      </w:tblGrid>
      <w:tr>
        <w:trPr>
          <w:tblHeader/>
        </w:trPr>
        <w:tc>
          <w:tcPr>
            <w:tcW w:type="dxa" w:w="23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Player / class</w:t>
            </w:r>
          </w:p>
        </w:tc>
        <w:tc>
          <w:tcPr>
            <w:tcW w:type="dxa" w:w="26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What they do</w:t>
            </w:r>
          </w:p>
        </w:tc>
        <w:tc>
          <w:tcPr>
            <w:tcW w:type="dxa" w:w="213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Threat to Valo</w:t>
            </w:r>
          </w:p>
        </w:tc>
        <w:tc>
          <w:tcPr>
            <w:tcW w:type="dxa" w:w="233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Valo's answer</w:t>
            </w:r>
          </w:p>
        </w:tc>
      </w:tr>
      <w:tr>
        <w:tc>
          <w:tcPr>
            <w:tcW w:type="dxa" w:w="2300"/>
            <w:tcMar>
              <w:top w:type="dxa" w:w="70"/>
              <w:left w:type="dxa" w:w="110"/>
              <w:bottom w:type="dxa" w:w="70"/>
              <w:right w:type="dxa" w:w="110"/>
            </w:tcMar>
            <w:vAlign w:val="center"/>
          </w:tcPr>
          <w:p>
            <w:pPr>
              <w:spacing w:after="0" w:line="240"/>
              <w:jc w:val="left"/>
            </w:pPr>
            <w:r>
              <w:rPr>
                <w:b/>
                <w:bCs/>
                <w:color w:val="222222"/>
                <w:sz w:val="20"/>
                <w:szCs w:val="20"/>
              </w:rPr>
              <w:t xml:space="preserve">Global AI proposal platforms (AutogenAI, GovDash, Procurement Sciences, 17+ others)</w:t>
            </w:r>
          </w:p>
        </w:tc>
        <w:tc>
          <w:tcPr>
            <w:tcW w:type="dxa" w:w="26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Full-lifecycle AI bid tooling for US/UK/EU government and enterprise; FedRAMP-grade security postures; US$49–2,000+/mo.</w:t>
            </w:r>
          </w:p>
        </w:tc>
        <w:tc>
          <w:tcPr>
            <w:tcW w:type="dxa" w:w="2130"/>
            <w:tcMar>
              <w:top w:type="dxa" w:w="70"/>
              <w:left w:type="dxa" w:w="110"/>
              <w:bottom w:type="dxa" w:w="70"/>
              <w:right w:type="dxa" w:w="110"/>
            </w:tcMar>
            <w:vAlign w:val="center"/>
          </w:tcPr>
          <w:p>
            <w:pPr>
              <w:spacing w:after="0" w:line="240"/>
              <w:jc w:val="left"/>
            </w:pPr>
            <w:r>
              <w:rPr>
                <w:b w:val="false"/>
                <w:bCs w:val="false"/>
                <w:color w:val="222222"/>
                <w:sz w:val="20"/>
                <w:szCs w:val="20"/>
              </w:rPr>
              <w:t xml:space="preserve">Low near-term: architecture, compliance investments and pricing anchor them to Western procurement; Nigeria localisation is uneconomic for them today.</w:t>
            </w:r>
          </w:p>
        </w:tc>
        <w:tc>
          <w:tcPr>
            <w:tcW w:type="dxa" w:w="233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Speed and locality: BPP/NipeX/donor templates, naira pricing, Abuja presence, WhatsApp-native delivery. Monitor for African-market announcements (kill-condition trigger, Section 14).</w:t>
            </w:r>
          </w:p>
        </w:tc>
      </w:tr>
      <w:tr>
        <w:tc>
          <w:tcPr>
            <w:tcW w:type="dxa" w:w="23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Local discovery aggregators (Jorpex, Etenders, SellToState)</w:t>
            </w:r>
          </w:p>
        </w:tc>
        <w:tc>
          <w:tcPr>
            <w:tcW w:type="dxa" w:w="26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Tender monitoring/alerts across NOCOPO, NNPC, state boards, multilaterals; some manual bid-prep and certificate services.</w:t>
            </w:r>
          </w:p>
        </w:tc>
        <w:tc>
          <w:tcPr>
            <w:tcW w:type="dxa" w:w="213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Adjacent, not overlapping; could attempt to move up-stack.</w:t>
            </w:r>
          </w:p>
        </w:tc>
        <w:tc>
          <w:tcPr>
            <w:tcW w:type="dxa" w:w="233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License their feeds; propose white-label autopsies; out-build them on the production layer where AI depth decides.</w:t>
            </w:r>
          </w:p>
        </w:tc>
      </w:tr>
      <w:tr>
        <w:tc>
          <w:tcPr>
            <w:tcW w:type="dxa" w:w="2300"/>
            <w:tcMar>
              <w:top w:type="dxa" w:w="70"/>
              <w:left w:type="dxa" w:w="110"/>
              <w:bottom w:type="dxa" w:w="70"/>
              <w:right w:type="dxa" w:w="110"/>
            </w:tcMar>
            <w:vAlign w:val="center"/>
          </w:tcPr>
          <w:p>
            <w:pPr>
              <w:spacing w:after="0" w:line="240"/>
              <w:jc w:val="left"/>
            </w:pPr>
            <w:r>
              <w:rPr>
                <w:b/>
                <w:bCs/>
                <w:color w:val="222222"/>
                <w:sz w:val="20"/>
                <w:szCs w:val="20"/>
              </w:rPr>
              <w:t xml:space="preserve">Manual bid consultancies</w:t>
            </w:r>
          </w:p>
        </w:tc>
        <w:tc>
          <w:tcPr>
            <w:tcW w:type="dxa" w:w="26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Hand-crafted bids at ₦300k–2m per pursuit; relationship-rich, capacity-poor.</w:t>
            </w:r>
          </w:p>
        </w:tc>
        <w:tc>
          <w:tcPr>
            <w:tcW w:type="dxa" w:w="2130"/>
            <w:tcMar>
              <w:top w:type="dxa" w:w="70"/>
              <w:left w:type="dxa" w:w="110"/>
              <w:bottom w:type="dxa" w:w="70"/>
              <w:right w:type="dxa" w:w="110"/>
            </w:tcMar>
            <w:vAlign w:val="center"/>
          </w:tcPr>
          <w:p>
            <w:pPr>
              <w:spacing w:after="0" w:line="240"/>
              <w:jc w:val="left"/>
            </w:pPr>
            <w:r>
              <w:rPr>
                <w:b w:val="false"/>
                <w:bCs w:val="false"/>
                <w:color w:val="222222"/>
                <w:sz w:val="20"/>
                <w:szCs w:val="20"/>
              </w:rPr>
              <w:t xml:space="preserve">Direct competitor for assisted-bid mandates; also the channel.</w:t>
            </w:r>
          </w:p>
        </w:tc>
        <w:tc>
          <w:tcPr>
            <w:tcW w:type="dxa" w:w="233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Beat on consistency, speed and institutional memory; convert the best into white-label partners rather than rivals.</w:t>
            </w:r>
          </w:p>
        </w:tc>
      </w:tr>
      <w:tr>
        <w:tc>
          <w:tcPr>
            <w:tcW w:type="dxa" w:w="23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Free generic AI (ChatGPT-class)</w:t>
            </w:r>
          </w:p>
        </w:tc>
        <w:tc>
          <w:tcPr>
            <w:tcW w:type="dxa" w:w="26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Prose drafting on demand; zero cost.</w:t>
            </w:r>
          </w:p>
        </w:tc>
        <w:tc>
          <w:tcPr>
            <w:tcW w:type="dxa" w:w="213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Real for drafting alone; erodes any pure-writing positioning.</w:t>
            </w:r>
          </w:p>
        </w:tc>
        <w:tc>
          <w:tcPr>
            <w:tcW w:type="dxa" w:w="233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Compete where chat cannot: vault, verified checklists, deterministic BOQ math, assembly, audit trail, institutional memory. Never market Valo as a writing tool.</w:t>
            </w:r>
          </w:p>
        </w:tc>
      </w:tr>
      <w:tr>
        <w:tc>
          <w:tcPr>
            <w:tcW w:type="dxa" w:w="2300"/>
            <w:tcMar>
              <w:top w:type="dxa" w:w="70"/>
              <w:left w:type="dxa" w:w="110"/>
              <w:bottom w:type="dxa" w:w="70"/>
              <w:right w:type="dxa" w:w="110"/>
            </w:tcMar>
            <w:vAlign w:val="center"/>
          </w:tcPr>
          <w:p>
            <w:pPr>
              <w:spacing w:after="0" w:line="240"/>
              <w:jc w:val="left"/>
            </w:pPr>
            <w:r>
              <w:rPr>
                <w:b/>
                <w:bCs/>
                <w:color w:val="222222"/>
                <w:sz w:val="20"/>
                <w:szCs w:val="20"/>
              </w:rPr>
              <w:t xml:space="preserve">In-house bid teams</w:t>
            </w:r>
          </w:p>
        </w:tc>
        <w:tc>
          <w:tcPr>
            <w:tcW w:type="dxa" w:w="26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Larger contractors' internal proposal staff.</w:t>
            </w:r>
          </w:p>
        </w:tc>
        <w:tc>
          <w:tcPr>
            <w:tcW w:type="dxa" w:w="213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Build-vs-buy objection at the top of the market.</w:t>
            </w:r>
          </w:p>
        </w:tc>
        <w:tc>
          <w:tcPr>
            <w:tcW w:type="dxa" w:w="233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Autopsy-as-audit positioning: even good teams buy an external disqualification check on must-win pursuits.</w:t>
            </w:r>
          </w:p>
        </w:tc>
      </w:tr>
    </w:tbl>
    <w:p>
      <w:pPr>
        <w:spacing w:after="120"/>
      </w:pPr>
    </w:p>
    <w:p>
      <w:pPr>
        <w:pStyle w:val="Heading2"/>
        <w:spacing w:after="140" w:before="240"/>
      </w:pPr>
      <w:r>
        <w:t xml:space="preserve">7.2 Moat trajectory</w:t>
      </w:r>
    </w:p>
    <w:p>
      <w:pPr>
        <w:spacing w:after="160" w:before="0" w:line="276"/>
        <w:jc w:val="both"/>
      </w:pPr>
      <w:r>
        <w:rPr>
          <w:b w:val="false"/>
          <w:bCs w:val="false"/>
          <w:i w:val="false"/>
          <w:iCs w:val="false"/>
          <w:color w:val="222222"/>
          <w:sz w:val="22"/>
          <w:szCs w:val="22"/>
        </w:rPr>
        <w:t xml:space="preserve">At launch the moat is thin — founder skill and locality. It compounds through: (1) the Certificate Vault and Capability Library, which make leaving costly; (2) a growing template-and-precedent corpus per issuing agency (BPP formats, NipeX prequal packs, donor SBDs); (3) win/loss and defect data that continuously improves extraction and red-team scoring; and (4) the consultancy channel, which turns would-be competitors into distribution. None of these requires capital; all require shipped volume — which is what the service-first model buys.</w:t>
      </w:r>
    </w:p>
    <w:p>
      <w:pPr>
        <w:pBdr>
          <w:bottom w:val="single" w:color="1F3A5F" w:sz="8" w:space="2"/>
        </w:pBdr>
        <w:spacing w:after="220" w:before="60"/>
      </w:pPr>
    </w:p>
    <w:p>
      <w:pPr>
        <w:pStyle w:val="Heading1"/>
        <w:spacing w:after="180" w:before="320"/>
      </w:pPr>
      <w:r>
        <w:t xml:space="preserve">8. Business Model &amp; Pricing</w:t>
      </w:r>
    </w:p>
    <w:p>
      <w:pPr>
        <w:pStyle w:val="Heading2"/>
        <w:spacing w:after="140" w:before="240"/>
      </w:pPr>
      <w:r>
        <w:t xml:space="preserve">8.1 Pricing schedule (launch)</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3400"/>
        <w:gridCol w:w="2500"/>
        <w:gridCol w:w="3460"/>
      </w:tblGrid>
      <w:tr>
        <w:trPr>
          <w:tblHeader/>
        </w:trPr>
        <w:tc>
          <w:tcPr>
            <w:tcW w:type="dxa" w:w="3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Product</w:t>
            </w:r>
          </w:p>
        </w:tc>
        <w:tc>
          <w:tcPr>
            <w:tcW w:type="dxa" w:w="25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Price (ex-VAT)</w:t>
            </w:r>
          </w:p>
        </w:tc>
        <w:tc>
          <w:tcPr>
            <w:tcW w:type="dxa" w:w="34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Anchor / logic</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Bid Autopsy — introductory (first cohort)</w:t>
            </w:r>
          </w:p>
        </w:tc>
        <w:tc>
          <w:tcPr>
            <w:tcW w:type="dxa" w:w="2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₦150,000</w:t>
            </w:r>
          </w:p>
        </w:tc>
        <w:tc>
          <w:tcPr>
            <w:tcW w:type="dxa" w:w="34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Below consultancy day-rates; converts scepticism.</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Bid Autopsy — standard</w:t>
            </w:r>
          </w:p>
        </w:tc>
        <w:tc>
          <w:tcPr>
            <w:tcW w:type="dxa" w:w="2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₦250,000</w:t>
            </w:r>
          </w:p>
        </w:tc>
        <w:tc>
          <w:tcPr>
            <w:tcW w:type="dxa" w:w="34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Priced against the sunk cost of one failed pursuit.</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Assisted Bid — standard</w:t>
            </w:r>
          </w:p>
        </w:tc>
        <w:tc>
          <w:tcPr>
            <w:tcW w:type="dxa" w:w="2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₦400,000 – ₦1,200,000 (avg. ₦600,000)</w:t>
            </w:r>
          </w:p>
        </w:tc>
        <w:tc>
          <w:tcPr>
            <w:tcW w:type="dxa" w:w="34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Scaled to package complexity; anchored to consultancy fees and to contract value at stake, never to hours.</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Starter Retainer</w:t>
            </w:r>
          </w:p>
        </w:tc>
        <w:tc>
          <w:tcPr>
            <w:tcW w:type="dxa" w:w="2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₦350,000 / month</w:t>
            </w:r>
          </w:p>
        </w:tc>
        <w:tc>
          <w:tcPr>
            <w:tcW w:type="dxa" w:w="34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Certificate Vault + expiry telemetry + tender monitoring + one autopsy or readiness audit per month.</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Growth Retainer</w:t>
            </w:r>
          </w:p>
        </w:tc>
        <w:tc>
          <w:tcPr>
            <w:tcW w:type="dxa" w:w="2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₦850,000 / month</w:t>
            </w:r>
          </w:p>
        </w:tc>
        <w:tc>
          <w:tcPr>
            <w:tcW w:type="dxa" w:w="34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Starter, plus one Band-A assisted bid per month (single lot, ≤ 150-page package, no joint venture).</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Enterprise / NipeX Retainer</w:t>
            </w:r>
          </w:p>
        </w:tc>
        <w:tc>
          <w:tcPr>
            <w:tcW w:type="dxa" w:w="2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From ₦1,500,000 / month (custom)</w:t>
            </w:r>
          </w:p>
        </w:tc>
        <w:tc>
          <w:tcPr>
            <w:tcW w:type="dxa" w:w="34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Named reviewer, 48-hour SLA, prequalification packs included; Band-B submissions scoped and priced separately.</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Fair use — all tiers</w:t>
            </w:r>
          </w:p>
        </w:tc>
        <w:tc>
          <w:tcPr>
            <w:tcW w:type="dxa" w:w="2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w:t>
            </w:r>
          </w:p>
        </w:tc>
        <w:tc>
          <w:tcPr>
            <w:tcW w:type="dxa" w:w="34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Autopsies capped at two per month (overflow at 50% of list); Band-B work (multi-lot, joint-venture, or &gt; 150 pages) is always scoped separately. Fair use exists so the best clients cannot become the least profitable ones.</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Platform tier (Phase 2): Vault + monitoring</w:t>
            </w:r>
          </w:p>
        </w:tc>
        <w:tc>
          <w:tcPr>
            <w:tcW w:type="dxa" w:w="2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₦150,000 / month</w:t>
            </w:r>
          </w:p>
        </w:tc>
        <w:tc>
          <w:tcPr>
            <w:tcW w:type="dxa" w:w="34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Self-serve; upsell path to human-QA add-ons.</w:t>
            </w:r>
          </w:p>
        </w:tc>
      </w:tr>
    </w:tbl>
    <w:p>
      <w:pPr>
        <w:spacing w:after="120"/>
      </w:pPr>
    </w:p>
    <w:p>
      <w:pPr>
        <w:spacing w:after="160" w:before="0" w:line="276"/>
        <w:jc w:val="both"/>
      </w:pPr>
      <w:r>
        <w:rPr>
          <w:b w:val="false"/>
          <w:bCs w:val="false"/>
          <w:i w:val="false"/>
          <w:iCs w:val="false"/>
          <w:color w:val="222222"/>
          <w:sz w:val="22"/>
          <w:szCs w:val="22"/>
        </w:rPr>
        <w:t xml:space="preserve">Success-based fees are excluded from the Year 1 rate card entirely. Even where lawful, a contingent fee tied to public-contract awards invites the wrong perception of what Valo sells; the structure may be revisited from Year 2 for private-sector or donor-adjacent engagements only, and only with written sign-off from counsel and the procurement advisor. Nothing in the financial plan depends on it.</w:t>
      </w:r>
    </w:p>
    <w:p>
      <w:pPr>
        <w:pStyle w:val="Heading2"/>
        <w:spacing w:after="140" w:before="240"/>
      </w:pPr>
      <w:r>
        <w:t xml:space="preserve">8.2 Unit economics — one assisted bid (Phase 1, service-delivered)</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5200"/>
        <w:gridCol w:w="4160"/>
      </w:tblGrid>
      <w:tr>
        <w:trPr>
          <w:tblHeader/>
        </w:trPr>
        <w:tc>
          <w:tcPr>
            <w:tcW w:type="dxa" w:w="52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Line</w:t>
            </w:r>
          </w:p>
        </w:tc>
        <w:tc>
          <w:tcPr>
            <w:tcW w:type="dxa" w:w="41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Amount</w:t>
            </w:r>
          </w:p>
        </w:tc>
      </w:tr>
      <w:tr>
        <w:tc>
          <w:tcPr>
            <w:tcW w:type="dxa" w:w="5200"/>
            <w:tcMar>
              <w:top w:type="dxa" w:w="70"/>
              <w:left w:type="dxa" w:w="110"/>
              <w:bottom w:type="dxa" w:w="70"/>
              <w:right w:type="dxa" w:w="110"/>
            </w:tcMar>
            <w:vAlign w:val="center"/>
          </w:tcPr>
          <w:p>
            <w:pPr>
              <w:spacing w:after="0" w:line="240"/>
              <w:jc w:val="left"/>
            </w:pPr>
            <w:r>
              <w:rPr>
                <w:b/>
                <w:bCs/>
                <w:color w:val="222222"/>
                <w:sz w:val="20"/>
                <w:szCs w:val="20"/>
              </w:rPr>
              <w:t xml:space="preserve">Revenue (average)</w:t>
            </w:r>
          </w:p>
        </w:tc>
        <w:tc>
          <w:tcPr>
            <w:tcW w:type="dxa" w:w="416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₦600,000</w:t>
            </w:r>
          </w:p>
        </w:tc>
      </w:tr>
      <w:tr>
        <w:tc>
          <w:tcPr>
            <w:tcW w:type="dxa" w:w="52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Direct model/compute cost</w:t>
            </w:r>
          </w:p>
        </w:tc>
        <w:tc>
          <w:tcPr>
            <w:tcW w:type="dxa" w:w="416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₦15,000 – ₦30,000</w:t>
            </w:r>
          </w:p>
        </w:tc>
      </w:tr>
      <w:tr>
        <w:tc>
          <w:tcPr>
            <w:tcW w:type="dxa" w:w="5200"/>
            <w:tcMar>
              <w:top w:type="dxa" w:w="70"/>
              <w:left w:type="dxa" w:w="110"/>
              <w:bottom w:type="dxa" w:w="70"/>
              <w:right w:type="dxa" w:w="110"/>
            </w:tcMar>
            <w:vAlign w:val="center"/>
          </w:tcPr>
          <w:p>
            <w:pPr>
              <w:spacing w:after="0" w:line="240"/>
              <w:jc w:val="left"/>
            </w:pPr>
            <w:r>
              <w:rPr>
                <w:b/>
                <w:bCs/>
                <w:color w:val="222222"/>
                <w:sz w:val="20"/>
                <w:szCs w:val="20"/>
              </w:rPr>
              <w:t xml:space="preserve">Analyst time (allocated)</w:t>
            </w:r>
          </w:p>
        </w:tc>
        <w:tc>
          <w:tcPr>
            <w:tcW w:type="dxa" w:w="416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₦60,000 – ₦90,000</w:t>
            </w:r>
          </w:p>
        </w:tc>
      </w:tr>
      <w:tr>
        <w:tc>
          <w:tcPr>
            <w:tcW w:type="dxa" w:w="52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Advisor QA time (allocated)</w:t>
            </w:r>
          </w:p>
        </w:tc>
        <w:tc>
          <w:tcPr>
            <w:tcW w:type="dxa" w:w="416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₦40,000 – ₦60,000</w:t>
            </w:r>
          </w:p>
        </w:tc>
      </w:tr>
      <w:tr>
        <w:tc>
          <w:tcPr>
            <w:tcW w:type="dxa" w:w="5200"/>
            <w:tcMar>
              <w:top w:type="dxa" w:w="70"/>
              <w:left w:type="dxa" w:w="110"/>
              <w:bottom w:type="dxa" w:w="70"/>
              <w:right w:type="dxa" w:w="110"/>
            </w:tcMar>
            <w:vAlign w:val="center"/>
          </w:tcPr>
          <w:p>
            <w:pPr>
              <w:spacing w:after="0" w:line="240"/>
              <w:jc w:val="left"/>
            </w:pPr>
            <w:r>
              <w:rPr>
                <w:b/>
                <w:bCs/>
                <w:color w:val="222222"/>
                <w:sz w:val="20"/>
                <w:szCs w:val="20"/>
              </w:rPr>
              <w:t xml:space="preserve">Printing/logistics (client-billed where possible)</w:t>
            </w:r>
          </w:p>
        </w:tc>
        <w:tc>
          <w:tcPr>
            <w:tcW w:type="dxa" w:w="416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₦10,000 – ₦25,000</w:t>
            </w:r>
          </w:p>
        </w:tc>
      </w:tr>
      <w:tr>
        <w:tc>
          <w:tcPr>
            <w:tcW w:type="dxa" w:w="52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Contribution margin</w:t>
            </w:r>
          </w:p>
        </w:tc>
        <w:tc>
          <w:tcPr>
            <w:tcW w:type="dxa" w:w="416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 ₦400,000 – ₦470,000 (67–78%)</w:t>
            </w:r>
          </w:p>
        </w:tc>
      </w:tr>
    </w:tbl>
    <w:p>
      <w:pPr>
        <w:spacing w:after="120"/>
      </w:pPr>
    </w:p>
    <w:p>
      <w:pPr>
        <w:spacing w:after="160" w:before="0" w:line="276"/>
        <w:jc w:val="both"/>
      </w:pPr>
      <w:r>
        <w:rPr>
          <w:b w:val="false"/>
          <w:bCs w:val="false"/>
          <w:i w:val="false"/>
          <w:iCs w:val="false"/>
          <w:color w:val="222222"/>
          <w:sz w:val="22"/>
          <w:szCs w:val="22"/>
        </w:rPr>
        <w:t xml:space="preserve">Founder engineering is excluded from unit costs and carried as investment; the honest cost of this venture is founder opportunity cost, which the gating regime exists to control.</w:t>
      </w:r>
    </w:p>
    <w:p>
      <w:pPr>
        <w:pStyle w:val="Heading2"/>
        <w:spacing w:after="140" w:before="240"/>
      </w:pPr>
      <w:r>
        <w:t xml:space="preserve">8.3 Payment discipline</w:t>
      </w:r>
    </w:p>
    <w:p>
      <w:pPr>
        <w:spacing w:after="160" w:before="0" w:line="276"/>
        <w:jc w:val="both"/>
      </w:pPr>
      <w:r>
        <w:rPr>
          <w:b w:val="false"/>
          <w:bCs w:val="false"/>
          <w:i w:val="false"/>
          <w:iCs w:val="false"/>
          <w:color w:val="222222"/>
          <w:sz w:val="22"/>
          <w:szCs w:val="22"/>
        </w:rPr>
        <w:t xml:space="preserve">This market pays in advance or not at all. All autopsies and assisted bids are 100% prepaid; retainers bill monthly in advance by standing instruction. No credit, no exceptions in Year 1. Prepayment doubles as the demand-validation instrument: a client who will not prepay ₦150,000 against a ₦500m pursuit has told Valo everything it needs to know.</w:t>
      </w:r>
    </w:p>
    <w:p>
      <w:pPr>
        <w:pStyle w:val="Heading2"/>
        <w:spacing w:after="140" w:before="240"/>
      </w:pPr>
      <w:r>
        <w:t xml:space="preserve">8.4 Revenue mix evolution</w:t>
      </w:r>
    </w:p>
    <w:p>
      <w:pPr>
        <w:spacing w:after="160" w:before="0" w:line="276"/>
        <w:jc w:val="both"/>
      </w:pPr>
      <w:r>
        <w:rPr>
          <w:b w:val="false"/>
          <w:bCs w:val="false"/>
          <w:i w:val="false"/>
          <w:iCs w:val="false"/>
          <w:color w:val="222222"/>
          <w:sz w:val="22"/>
          <w:szCs w:val="22"/>
        </w:rPr>
        <w:t xml:space="preserve">Year 1: services-heavy (autopsies and assisted bids ~65%, retainers ~35% by Q4). Year 2: retainers and platform tiers pass fifty percent of revenue as the Vault install-base compounds. Year 3: platform + retainer ~70%, services reserved for high-value pursuits and channel white-labelling; first GCC revenue enters as a separate line.</w:t>
      </w:r>
    </w:p>
    <w:p>
      <w:pPr>
        <w:pBdr>
          <w:bottom w:val="single" w:color="1F3A5F" w:sz="8" w:space="2"/>
        </w:pBdr>
        <w:spacing w:after="220" w:before="60"/>
      </w:pPr>
    </w:p>
    <w:p>
      <w:pPr>
        <w:pStyle w:val="Heading1"/>
        <w:spacing w:after="180" w:before="320"/>
      </w:pPr>
      <w:r>
        <w:t xml:space="preserve">9. Go-to-Market</w:t>
      </w:r>
    </w:p>
    <w:p>
      <w:pPr>
        <w:pStyle w:val="Heading2"/>
        <w:spacing w:after="140" w:before="240"/>
      </w:pPr>
      <w:r>
        <w:t xml:space="preserve">9.1 Phase 0–1: founder-led, Abuja, in person</w:t>
      </w:r>
    </w:p>
    <w:p>
      <w:pPr>
        <w:spacing w:after="160" w:before="0" w:line="276"/>
        <w:jc w:val="both"/>
      </w:pPr>
      <w:r>
        <w:rPr>
          <w:b w:val="false"/>
          <w:bCs w:val="false"/>
          <w:i w:val="false"/>
          <w:iCs w:val="false"/>
          <w:color w:val="222222"/>
          <w:sz w:val="22"/>
          <w:szCs w:val="22"/>
        </w:rPr>
        <w:t xml:space="preserve">The launch motion is deliberately unglamorous: eight to ten structured conversations with contractor principals sourced from the founder's Abuja network (energy-sector contacts, professional connections, referrals from the advisor hire), each anchored on one ask — a recent tender-plus-bid pair under NDA for a free autopsy. The autopsy meeting is the sales meeting: findings are presented in person, remediation is priced on the spot, and the retainer is offered as the way to never see fatal defects again. Target conversion: at least forty percent of autopsies into paid mandates.</w:t>
      </w:r>
    </w:p>
    <w:p>
      <w:pPr>
        <w:pStyle w:val="Heading2"/>
        <w:spacing w:after="140" w:before="240"/>
      </w:pPr>
      <w:r>
        <w:t xml:space="preserve">9.2 Channels in sequence</w:t>
      </w:r>
    </w:p>
    <w:p>
      <w:pPr>
        <w:pStyle w:val="ListParagraph"/>
        <w:numPr>
          <w:ilvl w:val="0"/>
          <w:numId w:val="2"/>
        </w:numPr>
        <w:spacing w:after="100" w:line="264"/>
      </w:pPr>
      <w:r>
        <w:rPr>
          <w:b w:val="false"/>
          <w:bCs w:val="false"/>
          <w:sz w:val="22"/>
          <w:szCs w:val="22"/>
        </w:rPr>
        <w:t xml:space="preserve">Direct referral loop (M1–6): every delivered autopsy requests two introductions; the defect register is a naturally shareable artefact among contractor peers.</w:t>
      </w:r>
    </w:p>
    <w:p>
      <w:pPr>
        <w:pStyle w:val="ListParagraph"/>
        <w:numPr>
          <w:ilvl w:val="0"/>
          <w:numId w:val="2"/>
        </w:numPr>
        <w:spacing w:after="100" w:line="264"/>
      </w:pPr>
      <w:r>
        <w:rPr>
          <w:b w:val="false"/>
          <w:bCs w:val="false"/>
          <w:sz w:val="22"/>
          <w:szCs w:val="22"/>
        </w:rPr>
        <w:t xml:space="preserve">Consultancy white-label programme (M6–12): licensed autopsy capacity to two or three established bid consultancies at forty percent revenue share — their relationships, Valo's engine.</w:t>
      </w:r>
    </w:p>
    <w:p>
      <w:pPr>
        <w:pStyle w:val="ListParagraph"/>
        <w:numPr>
          <w:ilvl w:val="0"/>
          <w:numId w:val="2"/>
        </w:numPr>
        <w:spacing w:after="100" w:line="264"/>
      </w:pPr>
      <w:r>
        <w:rPr>
          <w:b w:val="false"/>
          <w:bCs w:val="false"/>
          <w:sz w:val="22"/>
          <w:szCs w:val="22"/>
        </w:rPr>
        <w:t xml:space="preserve">Professional-community presence (M4+): CPD-style sessions with procurement and contractor associations in Abuja and Port Harcourt (NipeX belt); one flagship annual artefact — the 'State of Bid Disqualification in Nigeria' report, built from anonymised defect data, which markets the firm and deepens the moat simultaneously.</w:t>
      </w:r>
    </w:p>
    <w:p>
      <w:pPr>
        <w:pStyle w:val="ListParagraph"/>
        <w:numPr>
          <w:ilvl w:val="0"/>
          <w:numId w:val="2"/>
        </w:numPr>
        <w:spacing w:after="100" w:line="264"/>
      </w:pPr>
      <w:r>
        <w:rPr>
          <w:b w:val="false"/>
          <w:bCs w:val="false"/>
          <w:sz w:val="22"/>
          <w:szCs w:val="22"/>
        </w:rPr>
        <w:t xml:space="preserve">Remote-first delivery (M4+): after the founder's relocation, sales continue via referral, webinar and the advisor's in-person presence; the operating model is designed so that no step requires the founder in Nigeria.</w:t>
      </w:r>
    </w:p>
    <w:p>
      <w:pPr>
        <w:pStyle w:val="Heading2"/>
        <w:spacing w:after="140" w:before="240"/>
      </w:pPr>
      <w:r>
        <w:t xml:space="preserve">9.3 Positioning and message</w:t>
      </w:r>
    </w:p>
    <w:p>
      <w:pPr>
        <w:spacing w:after="160" w:before="0" w:line="276"/>
        <w:jc w:val="both"/>
      </w:pPr>
      <w:r>
        <w:rPr>
          <w:b w:val="false"/>
          <w:bCs w:val="false"/>
          <w:i w:val="false"/>
          <w:iCs w:val="false"/>
          <w:color w:val="222222"/>
          <w:sz w:val="22"/>
          <w:szCs w:val="22"/>
        </w:rPr>
        <w:t xml:space="preserve">One sentence, repeated everywhere: 'No controllable defect reaches submission.' Valo warrants its process — exhaustive requirement extraction, deterministic verification, named-reviewer sign-off — and never the award, the evaluator, or anything outside the reviewed materials; engagement letters say exactly that (Section 14.3). Valo is never positioned as an AI writing tool (which free chat commoditises) nor as a win-guarantee (which would be dishonest and legally reckless), but as disqualification insurance with a production engine attached.</w:t>
      </w:r>
    </w:p>
    <w:p>
      <w:pPr>
        <w:pStyle w:val="Heading2"/>
        <w:spacing w:after="140" w:before="240"/>
      </w:pPr>
      <w:r>
        <w:t xml:space="preserve">9.4 The corruption objection, answered in the open</w:t>
      </w:r>
    </w:p>
    <w:p>
      <w:pPr>
        <w:spacing w:after="160" w:before="0" w:line="276"/>
        <w:jc w:val="both"/>
      </w:pPr>
      <w:r>
        <w:rPr>
          <w:b w:val="false"/>
          <w:bCs w:val="false"/>
          <w:i w:val="false"/>
          <w:iCs w:val="false"/>
          <w:color w:val="222222"/>
          <w:sz w:val="22"/>
          <w:szCs w:val="22"/>
        </w:rPr>
        <w:t xml:space="preserve">Some Nigerian awards are relational, and no software wins a pre-wired contract. The objection inverts on inspection: even the connected bidder must survive the responsiveness check to be in the pool their relationship can help, and compliance disqualification is the one failure that embarrasses everyone — bidder, sponsor and evaluator alike. Meanwhile the NipeX and donor segments evaluate substantially on the documents. Valo sells to the part of the process that is honest everywhere: the gate. This answer is given proactively in every pitch, because every serious buyer is already thinking it.</w:t>
      </w:r>
    </w:p>
    <w:p>
      <w:pPr>
        <w:pBdr>
          <w:bottom w:val="single" w:color="1F3A5F" w:sz="8" w:space="2"/>
        </w:pBdr>
        <w:spacing w:after="220" w:before="60"/>
      </w:pPr>
    </w:p>
    <w:p>
      <w:pPr>
        <w:pStyle w:val="Heading1"/>
        <w:spacing w:after="180" w:before="320"/>
      </w:pPr>
      <w:r>
        <w:t xml:space="preserve">10. Gate 0 — Validation Plan &amp; Kill Criteria</w:t>
      </w:r>
    </w:p>
    <w:p>
      <w:pPr>
        <w:pStyle w:val="Heading2"/>
        <w:spacing w:after="140" w:before="240"/>
      </w:pPr>
      <w:r>
        <w:t xml:space="preserve">10.1 Design</w:t>
      </w:r>
    </w:p>
    <w:p>
      <w:pPr>
        <w:spacing w:after="160" w:before="0" w:line="276"/>
        <w:jc w:val="both"/>
      </w:pPr>
      <w:r>
        <w:rPr>
          <w:b w:val="false"/>
          <w:bCs w:val="false"/>
          <w:i w:val="false"/>
          <w:iCs w:val="false"/>
          <w:color w:val="222222"/>
          <w:sz w:val="22"/>
          <w:szCs w:val="22"/>
        </w:rPr>
        <w:t xml:space="preserve">Gate 0 spends at most ₦2.5m (≈ US$1,700) and six weeks of calendar time — plus one contingent two-week extension under condition 6 — to answer one question: will Nigerian bidders share their packages and prepay for defect-hunting? The founder builds Autopsy pipeline v0 (two to three weeks, existing components), holds at least eight structured conversations with contractor principals — owners and managing directors, not junior bid staff — collects at least five tender-plus-bid pairs under NDA (financial pages redacted where clients prefer), delivers five free autopsies, and presells. The v1.1 gate is deliberately stricter than v1.0's: it kills more false positives at the cost of a few points of pass probability.</w:t>
      </w:r>
    </w:p>
    <w:p>
      <w:pPr>
        <w:pStyle w:val="Heading2"/>
        <w:spacing w:after="140" w:before="240"/>
      </w:pPr>
      <w:r>
        <w:t xml:space="preserve">10.2 Pass / kill table</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3800"/>
        <w:gridCol w:w="3260"/>
        <w:gridCol w:w="2300"/>
      </w:tblGrid>
      <w:tr>
        <w:trPr>
          <w:tblHeader/>
        </w:trPr>
        <w:tc>
          <w:tcPr>
            <w:tcW w:type="dxa" w:w="38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Condition</w:t>
            </w:r>
          </w:p>
        </w:tc>
        <w:tc>
          <w:tcPr>
            <w:tcW w:type="dxa" w:w="32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Threshold</w:t>
            </w:r>
          </w:p>
        </w:tc>
        <w:tc>
          <w:tcPr>
            <w:tcW w:type="dxa" w:w="23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Decision</w:t>
            </w:r>
          </w:p>
        </w:tc>
      </w:tr>
      <w:tr>
        <w:tc>
          <w:tcPr>
            <w:tcW w:type="dxa" w:w="3800"/>
            <w:tcMar>
              <w:top w:type="dxa" w:w="70"/>
              <w:left w:type="dxa" w:w="110"/>
              <w:bottom w:type="dxa" w:w="70"/>
              <w:right w:type="dxa" w:w="110"/>
            </w:tcMar>
            <w:vAlign w:val="center"/>
          </w:tcPr>
          <w:p>
            <w:pPr>
              <w:spacing w:after="0" w:line="240"/>
              <w:jc w:val="left"/>
            </w:pPr>
            <w:r>
              <w:rPr>
                <w:b/>
                <w:bCs/>
                <w:color w:val="222222"/>
                <w:sz w:val="20"/>
                <w:szCs w:val="20"/>
              </w:rPr>
              <w:t xml:space="preserve">1 · Decision-maker conversations</w:t>
            </w:r>
          </w:p>
        </w:tc>
        <w:tc>
          <w:tcPr>
            <w:tcW w:type="dxa" w:w="3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8 with owners / managing directors — not junior bid staff</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PASS component</w:t>
            </w:r>
          </w:p>
        </w:tc>
      </w:tr>
      <w:tr>
        <w:tc>
          <w:tcPr>
            <w:tcW w:type="dxa" w:w="3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2 · Packages shared under NDA</w:t>
            </w:r>
          </w:p>
        </w:tc>
        <w:tc>
          <w:tcPr>
            <w:tcW w:type="dxa" w:w="3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5 tender-plus-bid pairs (financial pages may be redacted)</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PASS component</w:t>
            </w:r>
          </w:p>
        </w:tc>
      </w:tr>
      <w:tr>
        <w:tc>
          <w:tcPr>
            <w:tcW w:type="dxa" w:w="3800"/>
            <w:tcMar>
              <w:top w:type="dxa" w:w="70"/>
              <w:left w:type="dxa" w:w="110"/>
              <w:bottom w:type="dxa" w:w="70"/>
              <w:right w:type="dxa" w:w="110"/>
            </w:tcMar>
            <w:vAlign w:val="center"/>
          </w:tcPr>
          <w:p>
            <w:pPr>
              <w:spacing w:after="0" w:line="240"/>
              <w:jc w:val="left"/>
            </w:pPr>
            <w:r>
              <w:rPr>
                <w:b/>
                <w:bCs/>
                <w:color w:val="222222"/>
                <w:sz w:val="20"/>
                <w:szCs w:val="20"/>
              </w:rPr>
              <w:t xml:space="preserve">3 · Material defects found</w:t>
            </w:r>
          </w:p>
        </w:tc>
        <w:tc>
          <w:tcPr>
            <w:tcW w:type="dxa" w:w="3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Fatal or likely-fatal defects in ≥ 50% of audited packages</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PASS component (proves the pain is real and findable)</w:t>
            </w:r>
          </w:p>
        </w:tc>
      </w:tr>
      <w:tr>
        <w:tc>
          <w:tcPr>
            <w:tcW w:type="dxa" w:w="3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4 · Paid mandates</w:t>
            </w:r>
          </w:p>
        </w:tc>
        <w:tc>
          <w:tcPr>
            <w:tcW w:type="dxa" w:w="3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3 within 6 weeks of first autopsy delivered</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PASS component</w:t>
            </w:r>
          </w:p>
        </w:tc>
      </w:tr>
      <w:tr>
        <w:tc>
          <w:tcPr>
            <w:tcW w:type="dxa" w:w="3800"/>
            <w:tcMar>
              <w:top w:type="dxa" w:w="70"/>
              <w:left w:type="dxa" w:w="110"/>
              <w:bottom w:type="dxa" w:w="70"/>
              <w:right w:type="dxa" w:w="110"/>
            </w:tcMar>
            <w:vAlign w:val="center"/>
          </w:tcPr>
          <w:p>
            <w:pPr>
              <w:spacing w:after="0" w:line="240"/>
              <w:jc w:val="left"/>
            </w:pPr>
            <w:r>
              <w:rPr>
                <w:b/>
                <w:bCs/>
                <w:color w:val="222222"/>
                <w:sz w:val="20"/>
                <w:szCs w:val="20"/>
              </w:rPr>
              <w:t xml:space="preserve">5 · Mandate quality</w:t>
            </w:r>
          </w:p>
        </w:tc>
        <w:tc>
          <w:tcPr>
            <w:tcW w:type="dxa" w:w="3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1 paid mandate is an assisted bid or retainer</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PASS component (autopsy-only revenue cannot pass the gate)</w:t>
            </w:r>
          </w:p>
        </w:tc>
      </w:tr>
      <w:tr>
        <w:tc>
          <w:tcPr>
            <w:tcW w:type="dxa" w:w="3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6 · Segment evidence</w:t>
            </w:r>
          </w:p>
        </w:tc>
        <w:tc>
          <w:tcPr>
            <w:tcW w:type="dxa" w:w="3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1 NipeX/NCDMB or donor-funded package among those audited</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If unmet at week 6: extend two weeks solely to source one; if still unmet, proceed with NipeX assumptions stripped from the base case (scope consequence, not kill)</w:t>
            </w:r>
          </w:p>
        </w:tc>
      </w:tr>
      <w:tr>
        <w:tc>
          <w:tcPr>
            <w:tcW w:type="dxa" w:w="3800"/>
            <w:tcMar>
              <w:top w:type="dxa" w:w="70"/>
              <w:left w:type="dxa" w:w="110"/>
              <w:bottom w:type="dxa" w:w="70"/>
              <w:right w:type="dxa" w:w="110"/>
            </w:tcMar>
            <w:vAlign w:val="center"/>
          </w:tcPr>
          <w:p>
            <w:pPr>
              <w:spacing w:after="0" w:line="240"/>
              <w:jc w:val="left"/>
            </w:pPr>
            <w:r>
              <w:rPr>
                <w:b/>
                <w:bCs/>
                <w:color w:val="222222"/>
                <w:sz w:val="20"/>
                <w:szCs w:val="20"/>
              </w:rPr>
              <w:t xml:space="preserve">7 · Founder build time</w:t>
            </w:r>
          </w:p>
        </w:tc>
        <w:tc>
          <w:tcPr>
            <w:tcW w:type="dxa" w:w="3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4 weeks of founder engineering</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PAUSE and re-scope (portfolio-protection tripwire)</w:t>
            </w:r>
          </w:p>
        </w:tc>
      </w:tr>
      <w:tr>
        <w:tc>
          <w:tcPr>
            <w:tcW w:type="dxa" w:w="3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KILL · Document sharing</w:t>
            </w:r>
          </w:p>
        </w:tc>
        <w:tc>
          <w:tcPr>
            <w:tcW w:type="dxa" w:w="3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&lt; 3 of 10 approached will share even under NDA</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KILL — confidentiality wall is structural</w:t>
            </w:r>
          </w:p>
        </w:tc>
      </w:tr>
      <w:tr>
        <w:tc>
          <w:tcPr>
            <w:tcW w:type="dxa" w:w="3800"/>
            <w:tcMar>
              <w:top w:type="dxa" w:w="70"/>
              <w:left w:type="dxa" w:w="110"/>
              <w:bottom w:type="dxa" w:w="70"/>
              <w:right w:type="dxa" w:w="110"/>
            </w:tcMar>
            <w:vAlign w:val="center"/>
          </w:tcPr>
          <w:p>
            <w:pPr>
              <w:spacing w:after="0" w:line="240"/>
              <w:jc w:val="left"/>
            </w:pPr>
            <w:r>
              <w:rPr>
                <w:b/>
                <w:bCs/>
                <w:color w:val="222222"/>
                <w:sz w:val="20"/>
                <w:szCs w:val="20"/>
              </w:rPr>
              <w:t xml:space="preserve">KILL · Defect base rate</w:t>
            </w:r>
          </w:p>
        </w:tc>
        <w:tc>
          <w:tcPr>
            <w:tcW w:type="dxa" w:w="3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Packages substantially clean; losses explained by relational factors alone</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KILL — product cannot matter</w:t>
            </w:r>
          </w:p>
        </w:tc>
      </w:tr>
      <w:tr>
        <w:tc>
          <w:tcPr>
            <w:tcW w:type="dxa" w:w="38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KILL · Prepayment</w:t>
            </w:r>
          </w:p>
        </w:tc>
        <w:tc>
          <w:tcPr>
            <w:tcW w:type="dxa" w:w="3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No prospect prepays anything</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KILL — willingness to pay is theatrical</w:t>
            </w:r>
          </w:p>
        </w:tc>
      </w:tr>
    </w:tbl>
    <w:p>
      <w:pPr>
        <w:spacing w:after="120"/>
      </w:pPr>
    </w:p>
    <w:p>
      <w:pPr>
        <w:pStyle w:val="Heading2"/>
        <w:spacing w:after="140" w:before="240"/>
      </w:pPr>
      <w:r>
        <w:t xml:space="preserve">10.3 Ongoing kill conditions (post-Gate 0)</w:t>
      </w:r>
    </w:p>
    <w:p>
      <w:pPr>
        <w:pStyle w:val="ListParagraph"/>
        <w:numPr>
          <w:ilvl w:val="0"/>
          <w:numId w:val="2"/>
        </w:numPr>
        <w:spacing w:after="100" w:line="264"/>
      </w:pPr>
      <w:r>
        <w:rPr>
          <w:b w:val="false"/>
          <w:bCs w:val="false"/>
          <w:sz w:val="22"/>
          <w:szCs w:val="22"/>
        </w:rPr>
        <w:t xml:space="preserve">A credible global platform (AutogenAI/GovDash class) announces a funded Nigeria/Africa localisation: re-evaluate within 30 days; default to niche-defense (NipeX + donor) or channel-partnership posture.</w:t>
      </w:r>
    </w:p>
    <w:p>
      <w:pPr>
        <w:pStyle w:val="ListParagraph"/>
        <w:numPr>
          <w:ilvl w:val="0"/>
          <w:numId w:val="2"/>
        </w:numPr>
        <w:spacing w:after="100" w:line="264"/>
      </w:pPr>
      <w:r>
        <w:rPr>
          <w:b w:val="false"/>
          <w:bCs w:val="false"/>
          <w:sz w:val="22"/>
          <w:szCs w:val="22"/>
        </w:rPr>
        <w:t xml:space="preserve">Autopsy-to-mandate conversion sustained below 25% across ten consecutive autopsies: the wedge is wrong; halt spend, diagnose, re-gate.</w:t>
      </w:r>
    </w:p>
    <w:p>
      <w:pPr>
        <w:pStyle w:val="ListParagraph"/>
        <w:numPr>
          <w:ilvl w:val="0"/>
          <w:numId w:val="2"/>
        </w:numPr>
        <w:spacing w:after="100" w:line="264"/>
      </w:pPr>
      <w:r>
        <w:rPr>
          <w:b w:val="false"/>
          <w:bCs w:val="false"/>
          <w:sz w:val="22"/>
          <w:szCs w:val="22"/>
        </w:rPr>
        <w:t xml:space="preserve">Two consecutive quarters below 50% of constrained-case revenue after Month 6: wind down to retainer-service maintenance or sell the book to a consultancy partner.</w:t>
      </w:r>
    </w:p>
    <w:p>
      <w:pPr>
        <w:pStyle w:val="ListParagraph"/>
        <w:numPr>
          <w:ilvl w:val="0"/>
          <w:numId w:val="2"/>
        </w:numPr>
        <w:spacing w:after="100" w:line="264"/>
      </w:pPr>
      <w:r>
        <w:rPr>
          <w:b w:val="false"/>
          <w:bCs w:val="false"/>
          <w:sz w:val="22"/>
          <w:szCs w:val="22"/>
        </w:rPr>
        <w:t xml:space="preserve">Any client pressure to cross an integrity red line that costs two or more deals in a quarter: reassess segment mix rather than the red lines — the red lines are constitutional (Section 15).</w:t>
      </w:r>
    </w:p>
    <w:p>
      <w:pPr>
        <w:pBdr>
          <w:bottom w:val="single" w:color="1F3A5F" w:sz="8" w:space="2"/>
        </w:pBdr>
        <w:spacing w:after="220" w:before="60"/>
      </w:pPr>
    </w:p>
    <w:p>
      <w:pPr>
        <w:pStyle w:val="Heading1"/>
        <w:spacing w:after="180" w:before="320"/>
      </w:pPr>
      <w:r>
        <w:t xml:space="preserve">11. Operations &amp; Team</w:t>
      </w:r>
    </w:p>
    <w:p>
      <w:pPr>
        <w:pStyle w:val="Heading2"/>
        <w:spacing w:after="140" w:before="240"/>
      </w:pPr>
      <w:r>
        <w:t xml:space="preserve">11.1 Operating model</w:t>
      </w:r>
    </w:p>
    <w:p>
      <w:pPr>
        <w:spacing w:after="160" w:before="0" w:line="276"/>
        <w:jc w:val="both"/>
      </w:pPr>
      <w:r>
        <w:rPr>
          <w:b w:val="false"/>
          <w:bCs w:val="false"/>
          <w:i w:val="false"/>
          <w:iCs w:val="false"/>
          <w:color w:val="222222"/>
          <w:sz w:val="22"/>
          <w:szCs w:val="22"/>
        </w:rPr>
        <w:t xml:space="preserve">Valo Phase 1 is a productised service: fixed-scope offerings, engine-assisted, human-verified, delivered against service-level targets (autopsy in five working days, 48 hours for live pursuits; assisted bids scheduled against tender deadlines with a mandatory internal red-team pass at T-minus-72 hours). Every deliverable carries a named reviewer. WhatsApp Business and email are the client interface; the internal system of record is the engine itself.</w:t>
      </w:r>
    </w:p>
    <w:p>
      <w:pPr>
        <w:pStyle w:val="Heading2"/>
        <w:spacing w:after="140" w:before="240"/>
      </w:pPr>
      <w:r>
        <w:t xml:space="preserve">11.2 Team plan</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820"/>
        <w:gridCol w:w="1900"/>
        <w:gridCol w:w="1960"/>
        <w:gridCol w:w="2680"/>
      </w:tblGrid>
      <w:tr>
        <w:trPr>
          <w:tblHeader/>
        </w:trPr>
        <w:tc>
          <w:tcPr>
            <w:tcW w:type="dxa" w:w="282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Role</w:t>
            </w:r>
          </w:p>
        </w:tc>
        <w:tc>
          <w:tcPr>
            <w:tcW w:type="dxa" w:w="19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Timing</w:t>
            </w:r>
          </w:p>
        </w:tc>
        <w:tc>
          <w:tcPr>
            <w:tcW w:type="dxa" w:w="19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Cost basis</w:t>
            </w:r>
          </w:p>
        </w:tc>
        <w:tc>
          <w:tcPr>
            <w:tcW w:type="dxa" w:w="26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Mandate</w:t>
            </w:r>
          </w:p>
        </w:tc>
      </w:tr>
      <w:tr>
        <w:tc>
          <w:tcPr>
            <w:tcW w:type="dxa" w:w="2820"/>
            <w:tcMar>
              <w:top w:type="dxa" w:w="70"/>
              <w:left w:type="dxa" w:w="110"/>
              <w:bottom w:type="dxa" w:w="70"/>
              <w:right w:type="dxa" w:w="110"/>
            </w:tcMar>
            <w:vAlign w:val="center"/>
          </w:tcPr>
          <w:p>
            <w:pPr>
              <w:spacing w:after="0" w:line="240"/>
              <w:jc w:val="left"/>
            </w:pPr>
            <w:r>
              <w:rPr>
                <w:b/>
                <w:bCs/>
                <w:color w:val="222222"/>
                <w:sz w:val="20"/>
                <w:szCs w:val="20"/>
              </w:rPr>
              <w:t xml:space="preserve">Founder (product, engineering, sales lead)</w:t>
            </w:r>
          </w:p>
        </w:tc>
        <w:tc>
          <w:tcPr>
            <w:tcW w:type="dxa" w:w="19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M1</w:t>
            </w:r>
          </w:p>
        </w:tc>
        <w:tc>
          <w:tcPr>
            <w:tcW w:type="dxa" w:w="19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Unpaid Year 1; equity</w:t>
            </w:r>
          </w:p>
        </w:tc>
        <w:tc>
          <w:tcPr>
            <w:tcW w:type="dxa" w:w="2680"/>
            <w:tcMar>
              <w:top w:type="dxa" w:w="70"/>
              <w:left w:type="dxa" w:w="110"/>
              <w:bottom w:type="dxa" w:w="70"/>
              <w:right w:type="dxa" w:w="110"/>
            </w:tcMar>
            <w:vAlign w:val="center"/>
          </w:tcPr>
          <w:p>
            <w:pPr>
              <w:spacing w:after="0" w:line="240"/>
              <w:jc w:val="left"/>
            </w:pPr>
            <w:r>
              <w:rPr>
                <w:b w:val="false"/>
                <w:bCs w:val="false"/>
                <w:color w:val="222222"/>
                <w:sz w:val="20"/>
                <w:szCs w:val="20"/>
              </w:rPr>
              <w:t xml:space="preserve">Engine, pricing, first sales, GCC arc; strictly timeboxed hours</w:t>
            </w:r>
          </w:p>
        </w:tc>
      </w:tr>
      <w:tr>
        <w:tc>
          <w:tcPr>
            <w:tcW w:type="dxa" w:w="282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Bid Advisory Lead (part-time)</w:t>
            </w:r>
          </w:p>
        </w:tc>
        <w:tc>
          <w:tcPr>
            <w:tcW w:type="dxa" w:w="19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M1</w:t>
            </w:r>
          </w:p>
        </w:tc>
        <w:tc>
          <w:tcPr>
            <w:tcW w:type="dxa" w:w="19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₦500k/month</w:t>
            </w:r>
          </w:p>
        </w:tc>
        <w:tc>
          <w:tcPr>
            <w:tcW w:type="dxa" w:w="268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Ex-bid manager / ex-BPP-orbit professional; QA sign-off, credibility, in-person Abuja presence post-relocation</w:t>
            </w:r>
          </w:p>
        </w:tc>
      </w:tr>
      <w:tr>
        <w:tc>
          <w:tcPr>
            <w:tcW w:type="dxa" w:w="2820"/>
            <w:tcMar>
              <w:top w:type="dxa" w:w="70"/>
              <w:left w:type="dxa" w:w="110"/>
              <w:bottom w:type="dxa" w:w="70"/>
              <w:right w:type="dxa" w:w="110"/>
            </w:tcMar>
            <w:vAlign w:val="center"/>
          </w:tcPr>
          <w:p>
            <w:pPr>
              <w:spacing w:after="0" w:line="240"/>
              <w:jc w:val="left"/>
            </w:pPr>
            <w:r>
              <w:rPr>
                <w:b/>
                <w:bCs/>
                <w:color w:val="222222"/>
                <w:sz w:val="20"/>
                <w:szCs w:val="20"/>
              </w:rPr>
              <w:t xml:space="preserve">Ops &amp; Delivery Analyst</w:t>
            </w:r>
          </w:p>
        </w:tc>
        <w:tc>
          <w:tcPr>
            <w:tcW w:type="dxa" w:w="19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M4 (part-time), M7 (full-time)</w:t>
            </w:r>
          </w:p>
        </w:tc>
        <w:tc>
          <w:tcPr>
            <w:tcW w:type="dxa" w:w="19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₦300k/month</w:t>
            </w:r>
          </w:p>
        </w:tc>
        <w:tc>
          <w:tcPr>
            <w:tcW w:type="dxa" w:w="268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Autopsy operations, vault administration, client logistics</w:t>
            </w:r>
          </w:p>
        </w:tc>
      </w:tr>
      <w:tr>
        <w:tc>
          <w:tcPr>
            <w:tcW w:type="dxa" w:w="282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BD Lead (Abuja/PH)</w:t>
            </w:r>
          </w:p>
        </w:tc>
        <w:tc>
          <w:tcPr>
            <w:tcW w:type="dxa" w:w="19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Y2 (M13–15)</w:t>
            </w:r>
          </w:p>
        </w:tc>
        <w:tc>
          <w:tcPr>
            <w:tcW w:type="dxa" w:w="19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₦450k/month + commission</w:t>
            </w:r>
          </w:p>
        </w:tc>
        <w:tc>
          <w:tcPr>
            <w:tcW w:type="dxa" w:w="268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Consultancy channel and NipeX-belt coverage</w:t>
            </w:r>
          </w:p>
        </w:tc>
      </w:tr>
      <w:tr>
        <w:tc>
          <w:tcPr>
            <w:tcW w:type="dxa" w:w="2820"/>
            <w:tcMar>
              <w:top w:type="dxa" w:w="70"/>
              <w:left w:type="dxa" w:w="110"/>
              <w:bottom w:type="dxa" w:w="70"/>
              <w:right w:type="dxa" w:w="110"/>
            </w:tcMar>
            <w:vAlign w:val="center"/>
          </w:tcPr>
          <w:p>
            <w:pPr>
              <w:spacing w:after="0" w:line="240"/>
              <w:jc w:val="left"/>
            </w:pPr>
            <w:r>
              <w:rPr>
                <w:b/>
                <w:bCs/>
                <w:color w:val="222222"/>
                <w:sz w:val="20"/>
                <w:szCs w:val="20"/>
              </w:rPr>
              <w:t xml:space="preserve">Second Analyst + contract engineer</w:t>
            </w:r>
          </w:p>
        </w:tc>
        <w:tc>
          <w:tcPr>
            <w:tcW w:type="dxa" w:w="19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Y2, revenue-triggered</w:t>
            </w:r>
          </w:p>
        </w:tc>
        <w:tc>
          <w:tcPr>
            <w:tcW w:type="dxa" w:w="19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per market</w:t>
            </w:r>
          </w:p>
        </w:tc>
        <w:tc>
          <w:tcPr>
            <w:tcW w:type="dxa" w:w="2680"/>
            <w:tcMar>
              <w:top w:type="dxa" w:w="70"/>
              <w:left w:type="dxa" w:w="110"/>
              <w:bottom w:type="dxa" w:w="70"/>
              <w:right w:type="dxa" w:w="110"/>
            </w:tcMar>
            <w:vAlign w:val="center"/>
          </w:tcPr>
          <w:p>
            <w:pPr>
              <w:spacing w:after="0" w:line="240"/>
              <w:jc w:val="left"/>
            </w:pPr>
            <w:r>
              <w:rPr>
                <w:b w:val="false"/>
                <w:bCs w:val="false"/>
                <w:color w:val="222222"/>
                <w:sz w:val="20"/>
                <w:szCs w:val="20"/>
              </w:rPr>
              <w:t xml:space="preserve">Volume scaling; platform build support</w:t>
            </w:r>
          </w:p>
        </w:tc>
      </w:tr>
    </w:tbl>
    <w:p>
      <w:pPr>
        <w:spacing w:after="120"/>
      </w:pPr>
    </w:p>
    <w:p>
      <w:pPr>
        <w:pStyle w:val="Heading2"/>
        <w:spacing w:after="140" w:before="240"/>
      </w:pPr>
      <w:r>
        <w:t xml:space="preserve">11.3 Founder relocation and continuity</w:t>
      </w:r>
    </w:p>
    <w:p>
      <w:pPr>
        <w:spacing w:after="160" w:before="0" w:line="276"/>
        <w:jc w:val="both"/>
      </w:pPr>
      <w:r>
        <w:rPr>
          <w:b w:val="false"/>
          <w:bCs w:val="false"/>
          <w:i w:val="false"/>
          <w:iCs w:val="false"/>
          <w:color w:val="222222"/>
          <w:sz w:val="22"/>
          <w:szCs w:val="22"/>
        </w:rPr>
        <w:t xml:space="preserve">The founder relocates to Doha within the launch year. The design assumption is therefore remote-by-default from Month 4: the Advisory Lead is the in-country face; delivery is digital; the founder's Abuja presence in Months 1–3 is spent exclusively on Gate 0 relationships that convert into a referral engine. Key-person risk is mitigated by documented playbooks (autopsy protocol, red-team rubric, assembly runbooks) written as the work is done — the founder's established documentation discipline applied to his own company.</w:t>
      </w:r>
    </w:p>
    <w:p>
      <w:pPr>
        <w:pStyle w:val="Heading2"/>
        <w:spacing w:after="140" w:before="240"/>
      </w:pPr>
      <w:r>
        <w:t xml:space="preserve">11.4 Entity, banking and tax</w:t>
      </w:r>
    </w:p>
    <w:p>
      <w:pPr>
        <w:spacing w:after="160" w:before="0" w:line="276"/>
        <w:jc w:val="both"/>
      </w:pPr>
      <w:r>
        <w:rPr>
          <w:b w:val="false"/>
          <w:bCs w:val="false"/>
          <w:i w:val="false"/>
          <w:iCs w:val="false"/>
          <w:color w:val="222222"/>
          <w:sz w:val="22"/>
          <w:szCs w:val="22"/>
        </w:rPr>
        <w:t xml:space="preserve">Nigerian private limited company (CAC) incorporated at Gate 0 pass, not before; TIN, VAT registration as thresholds require; NDPC registration per Section 5.3. A Qatari entity is a Phase 3 decision tied to the GCC edition and the founder's Mustaqel residency platform, not a Year 1 cost.</w:t>
      </w:r>
    </w:p>
    <w:p>
      <w:pPr>
        <w:pBdr>
          <w:bottom w:val="single" w:color="1F3A5F" w:sz="8" w:space="2"/>
        </w:pBdr>
        <w:spacing w:after="220" w:before="60"/>
      </w:pPr>
    </w:p>
    <w:p>
      <w:pPr>
        <w:pStyle w:val="Heading1"/>
        <w:spacing w:after="180" w:before="320"/>
      </w:pPr>
      <w:r>
        <w:t xml:space="preserve">12. Financial Plan (36 Months)</w:t>
      </w:r>
    </w:p>
    <w:p>
      <w:pPr>
        <w:pStyle w:val="Heading2"/>
        <w:spacing w:after="140" w:before="240"/>
      </w:pPr>
      <w:r>
        <w:t xml:space="preserve">12.1 The US$20,000 allocation</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3400"/>
        <w:gridCol w:w="1900"/>
        <w:gridCol w:w="1300"/>
        <w:gridCol w:w="2760"/>
      </w:tblGrid>
      <w:tr>
        <w:trPr>
          <w:tblHeader/>
        </w:trPr>
        <w:tc>
          <w:tcPr>
            <w:tcW w:type="dxa" w:w="3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Line</w:t>
            </w:r>
          </w:p>
        </w:tc>
        <w:tc>
          <w:tcPr>
            <w:tcW w:type="dxa" w:w="19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 (at 1,500/US$)</w:t>
            </w:r>
          </w:p>
        </w:tc>
        <w:tc>
          <w:tcPr>
            <w:tcW w:type="dxa" w:w="13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US$</w:t>
            </w:r>
          </w:p>
        </w:tc>
        <w:tc>
          <w:tcPr>
            <w:tcW w:type="dxa" w:w="27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Notes</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Bid Advisory Lead (12 months part-time)</w:t>
            </w:r>
          </w:p>
        </w:tc>
        <w:tc>
          <w:tcPr>
            <w:tcW w:type="dxa" w:w="19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6,000,000</w:t>
            </w:r>
          </w:p>
        </w:tc>
        <w:tc>
          <w:tcPr>
            <w:tcW w:type="dxa" w:w="13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4,000</w:t>
            </w:r>
          </w:p>
        </w:tc>
        <w:tc>
          <w:tcPr>
            <w:tcW w:type="dxa" w:w="2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₦500k/month</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Ops &amp; Delivery Analyst (9 months blended)</w:t>
            </w:r>
          </w:p>
        </w:tc>
        <w:tc>
          <w:tcPr>
            <w:tcW w:type="dxa" w:w="19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2,700,000</w:t>
            </w:r>
          </w:p>
        </w:tc>
        <w:tc>
          <w:tcPr>
            <w:tcW w:type="dxa" w:w="13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1,800</w:t>
            </w:r>
          </w:p>
        </w:tc>
        <w:tc>
          <w:tcPr>
            <w:tcW w:type="dxa" w:w="2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M4 part-time → M7 full-time</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Cloud, model API, OCR, tooling</w:t>
            </w:r>
          </w:p>
        </w:tc>
        <w:tc>
          <w:tcPr>
            <w:tcW w:type="dxa" w:w="19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3,600,000</w:t>
            </w:r>
          </w:p>
        </w:tc>
        <w:tc>
          <w:tcPr>
            <w:tcW w:type="dxa" w:w="13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2,400</w:t>
            </w:r>
          </w:p>
        </w:tc>
        <w:tc>
          <w:tcPr>
            <w:tcW w:type="dxa" w:w="2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Includes per-client isolation overheads</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Tender-intelligence subscriptions</w:t>
            </w:r>
          </w:p>
        </w:tc>
        <w:tc>
          <w:tcPr>
            <w:tcW w:type="dxa" w:w="19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900,000</w:t>
            </w:r>
          </w:p>
        </w:tc>
        <w:tc>
          <w:tcPr>
            <w:tcW w:type="dxa" w:w="13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600</w:t>
            </w:r>
          </w:p>
        </w:tc>
        <w:tc>
          <w:tcPr>
            <w:tcW w:type="dxa" w:w="2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Aggregator feeds licensed, not built</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Legal, CAC, NDPA/NDPC, contracts, NDAs</w:t>
            </w:r>
          </w:p>
        </w:tc>
        <w:tc>
          <w:tcPr>
            <w:tcW w:type="dxa" w:w="19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1,500,000</w:t>
            </w:r>
          </w:p>
        </w:tc>
        <w:tc>
          <w:tcPr>
            <w:tcW w:type="dxa" w:w="13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1,000</w:t>
            </w:r>
          </w:p>
        </w:tc>
        <w:tc>
          <w:tcPr>
            <w:tcW w:type="dxa" w:w="2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Templates once, reused</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Marketing, CPD events, flagship report</w:t>
            </w:r>
          </w:p>
        </w:tc>
        <w:tc>
          <w:tcPr>
            <w:tcW w:type="dxa" w:w="19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1,800,000</w:t>
            </w:r>
          </w:p>
        </w:tc>
        <w:tc>
          <w:tcPr>
            <w:tcW w:type="dxa" w:w="13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1,200</w:t>
            </w:r>
          </w:p>
        </w:tc>
        <w:tc>
          <w:tcPr>
            <w:tcW w:type="dxa" w:w="2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Abuja + Port Harcourt</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Equipment &amp; sundry</w:t>
            </w:r>
          </w:p>
        </w:tc>
        <w:tc>
          <w:tcPr>
            <w:tcW w:type="dxa" w:w="19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900,000</w:t>
            </w:r>
          </w:p>
        </w:tc>
        <w:tc>
          <w:tcPr>
            <w:tcW w:type="dxa" w:w="13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600</w:t>
            </w:r>
          </w:p>
        </w:tc>
        <w:tc>
          <w:tcPr>
            <w:tcW w:type="dxa" w:w="2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Working capital &amp; contingency</w:t>
            </w:r>
          </w:p>
        </w:tc>
        <w:tc>
          <w:tcPr>
            <w:tcW w:type="dxa" w:w="19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12,600,000</w:t>
            </w:r>
          </w:p>
        </w:tc>
        <w:tc>
          <w:tcPr>
            <w:tcW w:type="dxa" w:w="13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8,400</w:t>
            </w:r>
          </w:p>
        </w:tc>
        <w:tc>
          <w:tcPr>
            <w:tcW w:type="dxa" w:w="27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Deliberately large: survivability buffer</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TOTAL</w:t>
            </w:r>
          </w:p>
        </w:tc>
        <w:tc>
          <w:tcPr>
            <w:tcW w:type="dxa" w:w="19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30,000,000</w:t>
            </w:r>
          </w:p>
        </w:tc>
        <w:tc>
          <w:tcPr>
            <w:tcW w:type="dxa" w:w="13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20,000</w:t>
            </w:r>
          </w:p>
        </w:tc>
        <w:tc>
          <w:tcPr>
            <w:tcW w:type="dxa" w:w="27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w:r>
          </w:p>
        </w:tc>
      </w:tr>
    </w:tbl>
    <w:p>
      <w:pPr>
        <w:spacing w:after="120"/>
      </w:pPr>
    </w:p>
    <w:p>
      <w:pPr>
        <w:pStyle w:val="Heading2"/>
        <w:spacing w:after="140" w:before="240"/>
      </w:pPr>
      <w:r>
        <w:t xml:space="preserve">12.2 Year 1 by quarter — constrained case</w:t>
      </w:r>
    </w:p>
    <w:tbl>
      <w:tblPr>
        <w:tblW w:type="dxa" w:w="10360"/>
        <w:tblBorders>
          <w:top w:val="single" w:color="B7C4D6" w:sz="4"/>
          <w:left w:val="single" w:color="B7C4D6" w:sz="4"/>
          <w:bottom w:val="single" w:color="B7C4D6" w:sz="4"/>
          <w:right w:val="single" w:color="B7C4D6" w:sz="4"/>
          <w:insideH w:val="single" w:color="D9E2EF" w:sz="4"/>
          <w:insideV w:val="single" w:color="D9E2EF" w:sz="4"/>
        </w:tblBorders>
      </w:tblPr>
      <w:tblGrid>
        <w:gridCol w:w="2960"/>
        <w:gridCol w:w="1480"/>
        <w:gridCol w:w="1480"/>
        <w:gridCol w:w="1480"/>
        <w:gridCol w:w="1480"/>
        <w:gridCol w:w="1480"/>
      </w:tblGrid>
      <w:tr>
        <w:trPr>
          <w:tblHeader/>
        </w:trPr>
        <w:tc>
          <w:tcPr>
            <w:tcW w:type="dxa" w:w="29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
            </w:r>
          </w:p>
        </w:tc>
        <w:tc>
          <w:tcPr>
            <w:tcW w:type="dxa" w:w="14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Q1 (M1–3)</w:t>
            </w:r>
          </w:p>
        </w:tc>
        <w:tc>
          <w:tcPr>
            <w:tcW w:type="dxa" w:w="14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Q2 (M4–6)</w:t>
            </w:r>
          </w:p>
        </w:tc>
        <w:tc>
          <w:tcPr>
            <w:tcW w:type="dxa" w:w="14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Q3 (M7–9)</w:t>
            </w:r>
          </w:p>
        </w:tc>
        <w:tc>
          <w:tcPr>
            <w:tcW w:type="dxa" w:w="14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Q4 (M10–12)</w:t>
            </w:r>
          </w:p>
        </w:tc>
        <w:tc>
          <w:tcPr>
            <w:tcW w:type="dxa" w:w="14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Year 1</w:t>
            </w:r>
          </w:p>
        </w:tc>
      </w:tr>
      <w:tr>
        <w:tc>
          <w:tcPr>
            <w:tcW w:type="dxa" w:w="2960"/>
            <w:tcMar>
              <w:top w:type="dxa" w:w="70"/>
              <w:left w:type="dxa" w:w="110"/>
              <w:bottom w:type="dxa" w:w="70"/>
              <w:right w:type="dxa" w:w="110"/>
            </w:tcMar>
            <w:vAlign w:val="center"/>
          </w:tcPr>
          <w:p>
            <w:pPr>
              <w:spacing w:after="0" w:line="240"/>
              <w:jc w:val="left"/>
            </w:pPr>
            <w:r>
              <w:rPr>
                <w:b/>
                <w:bCs/>
                <w:color w:val="222222"/>
                <w:sz w:val="20"/>
                <w:szCs w:val="20"/>
              </w:rPr>
              <w:t xml:space="preserve">Paid autopsies (#)</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6</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7</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7</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23</w:t>
            </w:r>
          </w:p>
        </w:tc>
      </w:tr>
      <w:tr>
        <w:tc>
          <w:tcPr>
            <w:tcW w:type="dxa" w:w="29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Spot assisted bids (#)</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5</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6</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17</w:t>
            </w:r>
          </w:p>
        </w:tc>
      </w:tr>
      <w:tr>
        <w:tc>
          <w:tcPr>
            <w:tcW w:type="dxa" w:w="2960"/>
            <w:tcMar>
              <w:top w:type="dxa" w:w="70"/>
              <w:left w:type="dxa" w:w="110"/>
              <w:bottom w:type="dxa" w:w="70"/>
              <w:right w:type="dxa" w:w="110"/>
            </w:tcMar>
            <w:vAlign w:val="center"/>
          </w:tcPr>
          <w:p>
            <w:pPr>
              <w:spacing w:after="0" w:line="240"/>
              <w:jc w:val="left"/>
            </w:pPr>
            <w:r>
              <w:rPr>
                <w:b/>
                <w:bCs/>
                <w:color w:val="222222"/>
                <w:sz w:val="20"/>
                <w:szCs w:val="20"/>
              </w:rPr>
              <w:t xml:space="preserve">Retainer-months (# · blended ₦0.7m)</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0</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5</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10</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15</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30</w:t>
            </w:r>
          </w:p>
        </w:tc>
      </w:tr>
      <w:tr>
        <w:tc>
          <w:tcPr>
            <w:tcW w:type="dxa" w:w="29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Retainers (exit count)</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0</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5</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5</w:t>
            </w:r>
          </w:p>
        </w:tc>
      </w:tr>
      <w:tr>
        <w:tc>
          <w:tcPr>
            <w:tcW w:type="dxa" w:w="2960"/>
            <w:tcMar>
              <w:top w:type="dxa" w:w="70"/>
              <w:left w:type="dxa" w:w="110"/>
              <w:bottom w:type="dxa" w:w="70"/>
              <w:right w:type="dxa" w:w="110"/>
            </w:tcMar>
            <w:vAlign w:val="center"/>
          </w:tcPr>
          <w:p>
            <w:pPr>
              <w:spacing w:after="0" w:line="240"/>
              <w:jc w:val="left"/>
            </w:pPr>
            <w:r>
              <w:rPr>
                <w:b/>
                <w:bCs/>
                <w:color w:val="222222"/>
                <w:sz w:val="20"/>
                <w:szCs w:val="20"/>
              </w:rPr>
              <w:t xml:space="preserve">Autopsy revenue (₦m)</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0.6</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1.2</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1.4</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1.4</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4.6</w:t>
            </w:r>
          </w:p>
        </w:tc>
      </w:tr>
      <w:tr>
        <w:tc>
          <w:tcPr>
            <w:tcW w:type="dxa" w:w="29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Spot-bid revenue (₦m)</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1.2</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2.4</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3.0</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3.6</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10.2</w:t>
            </w:r>
          </w:p>
        </w:tc>
      </w:tr>
      <w:tr>
        <w:tc>
          <w:tcPr>
            <w:tcW w:type="dxa" w:w="2960"/>
            <w:tcMar>
              <w:top w:type="dxa" w:w="70"/>
              <w:left w:type="dxa" w:w="110"/>
              <w:bottom w:type="dxa" w:w="70"/>
              <w:right w:type="dxa" w:w="110"/>
            </w:tcMar>
            <w:vAlign w:val="center"/>
          </w:tcPr>
          <w:p>
            <w:pPr>
              <w:spacing w:after="0" w:line="240"/>
              <w:jc w:val="left"/>
            </w:pPr>
            <w:r>
              <w:rPr>
                <w:b/>
                <w:bCs/>
                <w:color w:val="222222"/>
                <w:sz w:val="20"/>
                <w:szCs w:val="20"/>
              </w:rPr>
              <w:t xml:space="preserve">Retainer revenue (₦m)</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0.0</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3.5</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7.0</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10.5</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21.0</w:t>
            </w:r>
          </w:p>
        </w:tc>
      </w:tr>
      <w:tr>
        <w:tc>
          <w:tcPr>
            <w:tcW w:type="dxa" w:w="29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Total revenue (₦m)</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1.8</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7.1</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11.4</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15.5</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35.8</w:t>
            </w:r>
          </w:p>
        </w:tc>
      </w:tr>
      <w:tr>
        <w:tc>
          <w:tcPr>
            <w:tcW w:type="dxa" w:w="2960"/>
            <w:tcMar>
              <w:top w:type="dxa" w:w="70"/>
              <w:left w:type="dxa" w:w="110"/>
              <w:bottom w:type="dxa" w:w="70"/>
              <w:right w:type="dxa" w:w="110"/>
            </w:tcMar>
            <w:vAlign w:val="center"/>
          </w:tcPr>
          <w:p>
            <w:pPr>
              <w:spacing w:after="0" w:line="240"/>
              <w:jc w:val="left"/>
            </w:pPr>
            <w:r>
              <w:rPr>
                <w:b/>
                <w:bCs/>
                <w:color w:val="222222"/>
                <w:sz w:val="20"/>
                <w:szCs w:val="20"/>
              </w:rPr>
              <w:t xml:space="preserve">Operating cost (₦m)</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3.1</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4.2</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4.5</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4.7</w:t>
            </w:r>
          </w:p>
        </w:tc>
        <w:tc>
          <w:tcPr>
            <w:tcW w:type="dxa" w:w="14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16.5</w:t>
            </w:r>
          </w:p>
        </w:tc>
      </w:tr>
      <w:tr>
        <w:tc>
          <w:tcPr>
            <w:tcW w:type="dxa" w:w="296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Net cash from operations (₦m)</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(1.3)</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2.9</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6.9</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10.8</w:t>
            </w:r>
          </w:p>
        </w:tc>
        <w:tc>
          <w:tcPr>
            <w:tcW w:type="dxa" w:w="14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19.3</w:t>
            </w:r>
          </w:p>
        </w:tc>
      </w:tr>
    </w:tbl>
    <w:p>
      <w:pPr>
        <w:spacing w:after="120"/>
      </w:pPr>
    </w:p>
    <w:p>
      <w:pPr>
        <w:spacing w:after="160" w:before="0" w:line="276"/>
        <w:jc w:val="both"/>
      </w:pPr>
      <w:r>
        <w:rPr>
          <w:b w:val="false"/>
          <w:bCs w:val="false"/>
          <w:i w:val="false"/>
          <w:iCs w:val="false"/>
          <w:color w:val="222222"/>
          <w:sz w:val="22"/>
          <w:szCs w:val="22"/>
        </w:rPr>
        <w:t xml:space="preserve">Reading: the venture is cash-flow positive from Q2 in the constrained case, and the US$20,000 is never fully deployed — it exists to make the downside survivable, not to be spent. In the stress case (revenue at 30% of constrained), Year 1 cash burn is ₦11–13m, comfortably inside the envelope, and the ongoing kill conditions terminate the venture before capital exhaustion.</w:t>
      </w:r>
    </w:p>
    <w:p>
      <w:pPr>
        <w:pStyle w:val="Heading2"/>
        <w:spacing w:after="140" w:before="240"/>
      </w:pPr>
      <w:r>
        <w:t xml:space="preserve">12.3 Three-year scenario summary</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3400"/>
        <w:gridCol w:w="1980"/>
        <w:gridCol w:w="1980"/>
        <w:gridCol w:w="2000"/>
      </w:tblGrid>
      <w:tr>
        <w:trPr>
          <w:tblHeader/>
        </w:trPr>
        <w:tc>
          <w:tcPr>
            <w:tcW w:type="dxa" w:w="3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Metric</w:t>
            </w:r>
          </w:p>
        </w:tc>
        <w:tc>
          <w:tcPr>
            <w:tcW w:type="dxa" w:w="19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Constrained</w:t>
            </w:r>
          </w:p>
        </w:tc>
        <w:tc>
          <w:tcPr>
            <w:tcW w:type="dxa" w:w="198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Base</w:t>
            </w:r>
          </w:p>
        </w:tc>
        <w:tc>
          <w:tcPr>
            <w:tcW w:type="dxa" w:w="20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Upside</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Year 1 revenue (₦m)</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36</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55</w:t>
            </w:r>
          </w:p>
        </w:tc>
        <w:tc>
          <w:tcPr>
            <w:tcW w:type="dxa" w:w="20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80</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Year 2 revenue (₦m)</w:t>
            </w:r>
          </w:p>
        </w:tc>
        <w:tc>
          <w:tcPr>
            <w:tcW w:type="dxa" w:w="19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95</w:t>
            </w:r>
          </w:p>
        </w:tc>
        <w:tc>
          <w:tcPr>
            <w:tcW w:type="dxa" w:w="19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140</w:t>
            </w:r>
          </w:p>
        </w:tc>
        <w:tc>
          <w:tcPr>
            <w:tcW w:type="dxa" w:w="20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230</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Year 3 revenue (₦m)</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180</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380</w:t>
            </w:r>
          </w:p>
        </w:tc>
        <w:tc>
          <w:tcPr>
            <w:tcW w:type="dxa" w:w="20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700+</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M36 revenue run-rate (₦m/yr)</w:t>
            </w:r>
          </w:p>
        </w:tc>
        <w:tc>
          <w:tcPr>
            <w:tcW w:type="dxa" w:w="19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180</w:t>
            </w:r>
          </w:p>
        </w:tc>
        <w:tc>
          <w:tcPr>
            <w:tcW w:type="dxa" w:w="19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420</w:t>
            </w:r>
          </w:p>
        </w:tc>
        <w:tc>
          <w:tcPr>
            <w:tcW w:type="dxa" w:w="20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900+</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Active client organisations, M36</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70</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160</w:t>
            </w:r>
          </w:p>
        </w:tc>
        <w:tc>
          <w:tcPr>
            <w:tcW w:type="dxa" w:w="20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280</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Retainer + platform share of revenue, M36</w:t>
            </w:r>
          </w:p>
        </w:tc>
        <w:tc>
          <w:tcPr>
            <w:tcW w:type="dxa" w:w="19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55%</w:t>
            </w:r>
          </w:p>
        </w:tc>
        <w:tc>
          <w:tcPr>
            <w:tcW w:type="dxa" w:w="19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70%</w:t>
            </w:r>
          </w:p>
        </w:tc>
        <w:tc>
          <w:tcPr>
            <w:tcW w:type="dxa" w:w="20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75%</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Team size, M36</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7</w:t>
            </w:r>
          </w:p>
        </w:tc>
        <w:tc>
          <w:tcPr>
            <w:tcW w:type="dxa" w:w="20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11</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GCC revenue contribution, M36</w:t>
            </w:r>
          </w:p>
        </w:tc>
        <w:tc>
          <w:tcPr>
            <w:tcW w:type="dxa" w:w="19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0</w:t>
            </w:r>
          </w:p>
        </w:tc>
        <w:tc>
          <w:tcPr>
            <w:tcW w:type="dxa" w:w="198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Pilot (₦-equiv. 25m)</w:t>
            </w:r>
          </w:p>
        </w:tc>
        <w:tc>
          <w:tcPr>
            <w:tcW w:type="dxa" w:w="200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Material (₦-equiv. 90m+)</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EBITDA margin, Year 3</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25%</w:t>
            </w:r>
          </w:p>
        </w:tc>
        <w:tc>
          <w:tcPr>
            <w:tcW w:type="dxa" w:w="198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38%</w:t>
            </w:r>
          </w:p>
        </w:tc>
        <w:tc>
          <w:tcPr>
            <w:tcW w:type="dxa" w:w="200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45%</w:t>
            </w:r>
          </w:p>
        </w:tc>
      </w:tr>
    </w:tbl>
    <w:p>
      <w:pPr>
        <w:spacing w:after="120"/>
      </w:pPr>
    </w:p>
    <w:p>
      <w:pPr>
        <w:pStyle w:val="Heading2"/>
        <w:spacing w:after="140" w:before="240"/>
      </w:pPr>
      <w:r>
        <w:t xml:space="preserve">12.4 Key sensitivities</w:t>
      </w:r>
    </w:p>
    <w:p>
      <w:pPr>
        <w:pStyle w:val="ListParagraph"/>
        <w:numPr>
          <w:ilvl w:val="0"/>
          <w:numId w:val="2"/>
        </w:numPr>
        <w:spacing w:after="100" w:line="264"/>
      </w:pPr>
      <w:r>
        <w:rPr>
          <w:b w:val="false"/>
          <w:bCs w:val="false"/>
          <w:sz w:val="22"/>
          <w:szCs w:val="22"/>
        </w:rPr>
        <w:t xml:space="preserve">Autopsy-to-mandate conversion (base 40%): each 10-point swing moves Year 1 revenue roughly ±₦6m.</w:t>
      </w:r>
    </w:p>
    <w:p>
      <w:pPr>
        <w:pStyle w:val="ListParagraph"/>
        <w:numPr>
          <w:ilvl w:val="0"/>
          <w:numId w:val="2"/>
        </w:numPr>
        <w:spacing w:after="100" w:line="264"/>
      </w:pPr>
      <w:r>
        <w:rPr>
          <w:b w:val="false"/>
          <w:bCs w:val="false"/>
          <w:sz w:val="22"/>
          <w:szCs w:val="22"/>
        </w:rPr>
        <w:t xml:space="preserve">Retainer attach and retention: the model's compounding lives here; churn above 3%/month in Year 2 collapses the Base case toward Constrained.</w:t>
      </w:r>
    </w:p>
    <w:p>
      <w:pPr>
        <w:pStyle w:val="ListParagraph"/>
        <w:numPr>
          <w:ilvl w:val="0"/>
          <w:numId w:val="2"/>
        </w:numPr>
        <w:spacing w:after="100" w:line="264"/>
      </w:pPr>
      <w:r>
        <w:rPr>
          <w:b w:val="false"/>
          <w:bCs w:val="false"/>
          <w:sz w:val="22"/>
          <w:szCs w:val="22"/>
        </w:rPr>
        <w:t xml:space="preserve">FX: revenue is naira, founder cost-base partly USD; a 20% naira depreciation cuts USD-equivalent revenue proportionally but also raises the local price umbrella under imported alternatives. Hedge by accelerating the GCC line.</w:t>
      </w:r>
    </w:p>
    <w:p>
      <w:pPr>
        <w:pStyle w:val="ListParagraph"/>
        <w:numPr>
          <w:ilvl w:val="0"/>
          <w:numId w:val="2"/>
        </w:numPr>
        <w:spacing w:after="100" w:line="264"/>
      </w:pPr>
      <w:r>
        <w:rPr>
          <w:b w:val="false"/>
          <w:bCs w:val="false"/>
          <w:sz w:val="22"/>
          <w:szCs w:val="22"/>
        </w:rPr>
        <w:t xml:space="preserve">Seasonality: budget-release and procurement calendars cluster pursuits; capacity is sized to peaks via the consultancy channel rather than permanent headcount.</w:t>
      </w:r>
    </w:p>
    <w:p>
      <w:pPr>
        <w:pStyle w:val="Heading2"/>
        <w:spacing w:after="140" w:before="240"/>
      </w:pPr>
      <w:r>
        <w:t xml:space="preserve">12.5 Founder-replacement economics (the company test)</w:t>
      </w:r>
    </w:p>
    <w:p>
      <w:pPr>
        <w:spacing w:after="160" w:before="0" w:line="276"/>
        <w:jc w:val="both"/>
      </w:pPr>
      <w:r>
        <w:rPr>
          <w:b w:val="false"/>
          <w:bCs w:val="false"/>
          <w:i w:val="false"/>
          <w:iCs w:val="false"/>
          <w:color w:val="222222"/>
          <w:sz w:val="22"/>
          <w:szCs w:val="22"/>
        </w:rPr>
        <w:t xml:space="preserve">The tables above exclude founder time, which is correct for survival analysis and misleading for scalability analysis. This section prices the founder's functions at market and asks whether Valo is a company or a founder-dependent consultancy.</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6200"/>
        <w:gridCol w:w="3160"/>
      </w:tblGrid>
      <w:tr>
        <w:trPr>
          <w:tblHeader/>
        </w:trPr>
        <w:tc>
          <w:tcPr>
            <w:tcW w:type="dxa" w:w="62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Replaced function</w:t>
            </w:r>
          </w:p>
        </w:tc>
        <w:tc>
          <w:tcPr>
            <w:tcW w:type="dxa" w:w="31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Market cost (₦m / month)</w:t>
            </w:r>
          </w:p>
        </w:tc>
      </w:tr>
      <w:tr>
        <w:tc>
          <w:tcPr>
            <w:tcW w:type="dxa" w:w="6200"/>
            <w:tcMar>
              <w:top w:type="dxa" w:w="70"/>
              <w:left w:type="dxa" w:w="110"/>
              <w:bottom w:type="dxa" w:w="70"/>
              <w:right w:type="dxa" w:w="110"/>
            </w:tcMar>
            <w:vAlign w:val="center"/>
          </w:tcPr>
          <w:p>
            <w:pPr>
              <w:spacing w:after="0" w:line="240"/>
              <w:jc w:val="left"/>
            </w:pPr>
            <w:r>
              <w:rPr>
                <w:b/>
                <w:bCs/>
                <w:color w:val="222222"/>
                <w:sz w:val="20"/>
                <w:szCs w:val="20"/>
              </w:rPr>
              <w:t xml:space="preserve">Fractional senior engineer (engine build &amp; maintenance)</w:t>
            </w:r>
          </w:p>
        </w:tc>
        <w:tc>
          <w:tcPr>
            <w:tcW w:type="dxa" w:w="316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1.4</w:t>
            </w:r>
          </w:p>
        </w:tc>
      </w:tr>
      <w:tr>
        <w:tc>
          <w:tcPr>
            <w:tcW w:type="dxa" w:w="62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Sales lead (founder-grade closing)</w:t>
            </w:r>
          </w:p>
        </w:tc>
        <w:tc>
          <w:tcPr>
            <w:tcW w:type="dxa" w:w="316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0.8</w:t>
            </w:r>
          </w:p>
        </w:tc>
      </w:tr>
      <w:tr>
        <w:tc>
          <w:tcPr>
            <w:tcW w:type="dxa" w:w="6200"/>
            <w:tcMar>
              <w:top w:type="dxa" w:w="70"/>
              <w:left w:type="dxa" w:w="110"/>
              <w:bottom w:type="dxa" w:w="70"/>
              <w:right w:type="dxa" w:w="110"/>
            </w:tcMar>
            <w:vAlign w:val="center"/>
          </w:tcPr>
          <w:p>
            <w:pPr>
              <w:spacing w:after="0" w:line="240"/>
              <w:jc w:val="left"/>
            </w:pPr>
            <w:r>
              <w:rPr>
                <w:b/>
                <w:bCs/>
                <w:color w:val="222222"/>
                <w:sz w:val="20"/>
                <w:szCs w:val="20"/>
              </w:rPr>
              <w:t xml:space="preserve">Escalation QA (incremental to the advisory lead)</w:t>
            </w:r>
          </w:p>
        </w:tc>
        <w:tc>
          <w:tcPr>
            <w:tcW w:type="dxa" w:w="3160"/>
            <w:tcMar>
              <w:top w:type="dxa" w:w="70"/>
              <w:left w:type="dxa" w:w="110"/>
              <w:bottom w:type="dxa" w:w="70"/>
              <w:right w:type="dxa" w:w="110"/>
            </w:tcMar>
            <w:vAlign w:val="center"/>
          </w:tcPr>
          <w:p>
            <w:pPr>
              <w:spacing w:after="0" w:line="240"/>
              <w:jc w:val="right"/>
            </w:pPr>
            <w:r>
              <w:rPr>
                <w:b w:val="false"/>
                <w:bCs w:val="false"/>
                <w:color w:val="222222"/>
                <w:sz w:val="20"/>
                <w:szCs w:val="20"/>
              </w:rPr>
              <w:t xml:space="preserve">0.3</w:t>
            </w:r>
          </w:p>
        </w:tc>
      </w:tr>
      <w:tr>
        <w:tc>
          <w:tcPr>
            <w:tcW w:type="dxa" w:w="62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Total replacement basket</w:t>
            </w:r>
          </w:p>
        </w:tc>
        <w:tc>
          <w:tcPr>
            <w:tcW w:type="dxa" w:w="3160"/>
            <w:shd w:fill="EDF1F7" w:val="clear"/>
            <w:tcMar>
              <w:top w:type="dxa" w:w="70"/>
              <w:left w:type="dxa" w:w="110"/>
              <w:bottom w:type="dxa" w:w="70"/>
              <w:right w:type="dxa" w:w="110"/>
            </w:tcMar>
            <w:vAlign w:val="center"/>
          </w:tcPr>
          <w:p>
            <w:pPr>
              <w:spacing w:after="0" w:line="240"/>
              <w:jc w:val="right"/>
            </w:pPr>
            <w:r>
              <w:rPr>
                <w:b w:val="false"/>
                <w:bCs w:val="false"/>
                <w:color w:val="222222"/>
                <w:sz w:val="20"/>
                <w:szCs w:val="20"/>
              </w:rPr>
              <w:t xml:space="preserve">2.5 (₦30m / yr; sensitivity range ₦24–30m)</w:t>
            </w:r>
          </w:p>
        </w:tc>
      </w:tr>
    </w:tbl>
    <w:p>
      <w:pPr>
        <w:spacing w:after="120"/>
      </w:pPr>
    </w:p>
    <w:p>
      <w:pPr>
        <w:spacing w:after="160" w:before="0" w:line="276"/>
        <w:jc w:val="both"/>
      </w:pPr>
      <w:r>
        <w:rPr>
          <w:b w:val="false"/>
          <w:bCs w:val="false"/>
          <w:i w:val="false"/>
          <w:iCs w:val="false"/>
          <w:color w:val="222222"/>
          <w:sz w:val="22"/>
          <w:szCs w:val="22"/>
        </w:rPr>
        <w:t xml:space="preserve">Applied to Year 1: the constrained case's ₦19.3m net operating cash becomes roughly negative ₦5–11m — in other words, at constrained revenue, Year 1 Valo is a founder-subsidised consultancy, and this plan says so plainly. The base case (≈ ₦55m revenue against ≈ ₦19m operating cost) absorbs the basket and remains positive by ₦6–12m — a marginal company. The venture becomes a company in the durable sense at the Replacement-Cost Crossover: the point where recurring revenue (retainers plus platform tiers) alone covers the ₦2.5m/month replacement basket plus recurring delivery cost — approximately ₦4.5m of recurring MRR. The base case crosses at Months 14–16. The crossover is a named milestone in the roadmap (Section 15), a tracked KPI (Section 18), and a dedicated tab in the companion Excel model.</w:t>
      </w:r>
    </w:p>
    <w:p>
      <w:pPr>
        <w:spacing w:after="160" w:before="0" w:line="276"/>
        <w:jc w:val="both"/>
      </w:pPr>
      <w:r>
        <w:rPr>
          <w:b w:val="false"/>
          <w:bCs w:val="false"/>
          <w:i/>
          <w:iCs/>
          <w:color w:val="222222"/>
          <w:sz w:val="22"/>
          <w:szCs w:val="22"/>
        </w:rPr>
        <w:t xml:space="preserve">Full input assumptions are listed in Appendix C. A companion Excel model (Valo Financial Model v0.1) is specified as the next document in the suite, including a founder-replacement tab tracking the crossover.</w:t>
      </w:r>
    </w:p>
    <w:p>
      <w:pPr>
        <w:pBdr>
          <w:bottom w:val="single" w:color="1F3A5F" w:sz="8" w:space="2"/>
        </w:pBdr>
        <w:spacing w:after="220" w:before="60"/>
      </w:pPr>
    </w:p>
    <w:p>
      <w:pPr>
        <w:pStyle w:val="Heading1"/>
        <w:spacing w:after="180" w:before="320"/>
      </w:pPr>
      <w:r>
        <w:t xml:space="preserve">13. Risk Register &amp; Mitigations</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500"/>
        <w:gridCol w:w="3020"/>
        <w:gridCol w:w="500"/>
        <w:gridCol w:w="500"/>
        <w:gridCol w:w="4840"/>
      </w:tblGrid>
      <w:tr>
        <w:trPr>
          <w:tblHeader/>
        </w:trPr>
        <w:tc>
          <w:tcPr>
            <w:tcW w:type="dxa" w:w="5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w:t>
            </w:r>
          </w:p>
        </w:tc>
        <w:tc>
          <w:tcPr>
            <w:tcW w:type="dxa" w:w="302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Risk</w:t>
            </w:r>
          </w:p>
        </w:tc>
        <w:tc>
          <w:tcPr>
            <w:tcW w:type="dxa" w:w="5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L</w:t>
            </w:r>
          </w:p>
        </w:tc>
        <w:tc>
          <w:tcPr>
            <w:tcW w:type="dxa" w:w="5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I</w:t>
            </w:r>
          </w:p>
        </w:tc>
        <w:tc>
          <w:tcPr>
            <w:tcW w:type="dxa" w:w="484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Mitigation</w:t>
            </w:r>
          </w:p>
        </w:tc>
      </w:tr>
      <w:tr>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1</w:t>
            </w:r>
          </w:p>
        </w:tc>
        <w:tc>
          <w:tcPr>
            <w:tcW w:type="dxa" w:w="302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Relational awards cap the value of merit tooling in the federal segment</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484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Segment weighting toward NipeX and donor pursuits; sell the responsiveness gate, not win-guarantees; proactive handling of the objection in every pitch (§9.4).</w:t>
            </w:r>
          </w:p>
        </w:tc>
      </w:tr>
      <w:tr>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2</w:t>
            </w:r>
          </w:p>
        </w:tc>
        <w:tc>
          <w:tcPr>
            <w:tcW w:type="dxa" w:w="302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Confidentiality wall — bidders refuse to share packages</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484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NDAs standard; financial bids excluded by default; NDPA posture as a sales asset; Gate 0 kills the venture cheaply if the wall is structural.</w:t>
            </w:r>
          </w:p>
        </w:tc>
      </w:tr>
      <w:tr>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3</w:t>
            </w:r>
          </w:p>
        </w:tc>
        <w:tc>
          <w:tcPr>
            <w:tcW w:type="dxa" w:w="302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Payment collection failure</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4840"/>
            <w:tcMar>
              <w:top w:type="dxa" w:w="70"/>
              <w:left w:type="dxa" w:w="110"/>
              <w:bottom w:type="dxa" w:w="70"/>
              <w:right w:type="dxa" w:w="110"/>
            </w:tcMar>
            <w:vAlign w:val="center"/>
          </w:tcPr>
          <w:p>
            <w:pPr>
              <w:spacing w:after="0" w:line="240"/>
              <w:jc w:val="left"/>
            </w:pPr>
            <w:r>
              <w:rPr>
                <w:b w:val="false"/>
                <w:bCs w:val="false"/>
                <w:color w:val="222222"/>
                <w:sz w:val="20"/>
                <w:szCs w:val="20"/>
              </w:rPr>
              <w:t xml:space="preserve">100% prepayment, no credit in Year 1; retainers billed in advance; walk away from non-prepayers.</w:t>
            </w:r>
          </w:p>
        </w:tc>
      </w:tr>
      <w:tr>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4</w:t>
            </w:r>
          </w:p>
        </w:tc>
        <w:tc>
          <w:tcPr>
            <w:tcW w:type="dxa" w:w="302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Global platform enters Nigeria</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L</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484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Ongoing kill condition with 30-day re-evaluation; local moat (templates, vaults, channel) built for defensibility; partnership posture prepared.</w:t>
            </w:r>
          </w:p>
        </w:tc>
      </w:tr>
      <w:tr>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5</w:t>
            </w:r>
          </w:p>
        </w:tc>
        <w:tc>
          <w:tcPr>
            <w:tcW w:type="dxa" w:w="302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Founder bandwidth conflict with other portfolio commitments</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4840"/>
            <w:tcMar>
              <w:top w:type="dxa" w:w="70"/>
              <w:left w:type="dxa" w:w="110"/>
              <w:bottom w:type="dxa" w:w="70"/>
              <w:right w:type="dxa" w:w="110"/>
            </w:tcMar>
            <w:vAlign w:val="center"/>
          </w:tcPr>
          <w:p>
            <w:pPr>
              <w:spacing w:after="0" w:line="240"/>
              <w:jc w:val="left"/>
            </w:pPr>
            <w:r>
              <w:rPr>
                <w:b w:val="false"/>
                <w:bCs w:val="false"/>
                <w:color w:val="222222"/>
                <w:sz w:val="20"/>
                <w:szCs w:val="20"/>
              </w:rPr>
              <w:t xml:space="preserve">Hard timeboxes; Gate 0 build capped at 4 weeks; advisory lead carries in-country presence; playbooks documented from day one.</w:t>
            </w:r>
          </w:p>
        </w:tc>
      </w:tr>
      <w:tr>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6</w:t>
            </w:r>
          </w:p>
        </w:tc>
        <w:tc>
          <w:tcPr>
            <w:tcW w:type="dxa" w:w="302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LLM extraction errors cause a client miss</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484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Human confirmation of every requirement matrix; deterministic verification layers; extraction-recall KPI; professional-indemnity insurance quoted in Phase 1; engagement letters cap liability at fees paid.</w:t>
            </w:r>
          </w:p>
        </w:tc>
      </w:tr>
      <w:tr>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7</w:t>
            </w:r>
          </w:p>
        </w:tc>
        <w:tc>
          <w:tcPr>
            <w:tcW w:type="dxa" w:w="3020"/>
            <w:tcMar>
              <w:top w:type="dxa" w:w="70"/>
              <w:left w:type="dxa" w:w="110"/>
              <w:bottom w:type="dxa" w:w="70"/>
              <w:right w:type="dxa" w:w="110"/>
            </w:tcMar>
            <w:vAlign w:val="center"/>
          </w:tcPr>
          <w:p>
            <w:pPr>
              <w:spacing w:after="0" w:line="240"/>
              <w:jc w:val="left"/>
            </w:pPr>
            <w:r>
              <w:rPr>
                <w:b w:val="false"/>
                <w:bCs w:val="false"/>
                <w:color w:val="222222"/>
                <w:sz w:val="20"/>
                <w:szCs w:val="20"/>
              </w:rPr>
              <w:t xml:space="preserve">Integrity pressure from clients (facilitation, fabricated claims)</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4840"/>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Constitutional red lines (§15); anti-fabrication control in the Capability Library; documented refusals; fire the client, keep the reputation.</w:t>
            </w:r>
          </w:p>
        </w:tc>
      </w:tr>
      <w:tr>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8</w:t>
            </w:r>
          </w:p>
        </w:tc>
        <w:tc>
          <w:tcPr>
            <w:tcW w:type="dxa" w:w="302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Advisor hire disappoints (quality or conduct)</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484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90-day probation; two-referee verification; QA rubric makes performance measurable; pipeline of alternates maintained.</w:t>
            </w:r>
          </w:p>
        </w:tc>
      </w:tr>
      <w:tr>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9</w:t>
            </w:r>
          </w:p>
        </w:tc>
        <w:tc>
          <w:tcPr>
            <w:tcW w:type="dxa" w:w="3020"/>
            <w:tcMar>
              <w:top w:type="dxa" w:w="70"/>
              <w:left w:type="dxa" w:w="110"/>
              <w:bottom w:type="dxa" w:w="70"/>
              <w:right w:type="dxa" w:w="110"/>
            </w:tcMar>
            <w:vAlign w:val="center"/>
          </w:tcPr>
          <w:p>
            <w:pPr>
              <w:spacing w:after="0" w:line="240"/>
              <w:jc w:val="left"/>
            </w:pPr>
            <w:r>
              <w:rPr>
                <w:b w:val="false"/>
                <w:bCs w:val="false"/>
                <w:color w:val="222222"/>
                <w:sz w:val="20"/>
                <w:szCs w:val="20"/>
              </w:rPr>
              <w:t xml:space="preserve">FX volatility erodes USD-equivalent returns</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4840"/>
            <w:tcMar>
              <w:top w:type="dxa" w:w="70"/>
              <w:left w:type="dxa" w:w="110"/>
              <w:bottom w:type="dxa" w:w="70"/>
              <w:right w:type="dxa" w:w="110"/>
            </w:tcMar>
            <w:vAlign w:val="center"/>
          </w:tcPr>
          <w:p>
            <w:pPr>
              <w:spacing w:after="0" w:line="240"/>
              <w:jc w:val="left"/>
            </w:pPr>
            <w:r>
              <w:rPr>
                <w:b w:val="false"/>
                <w:bCs w:val="false"/>
                <w:color w:val="222222"/>
                <w:sz w:val="20"/>
                <w:szCs w:val="20"/>
              </w:rPr>
              <w:t xml:space="preserve">Naira pricing reviewed quarterly; GCC line as structural hedge; costs kept naira-dominant.</w:t>
            </w:r>
          </w:p>
        </w:tc>
      </w:tr>
      <w:tr>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10</w:t>
            </w:r>
          </w:p>
        </w:tc>
        <w:tc>
          <w:tcPr>
            <w:tcW w:type="dxa" w:w="302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Key-person risk (founder)</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484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Runbooks and playbooks as standing discipline; engine encodes the method; advisory lead can sustain service mode.</w:t>
            </w:r>
          </w:p>
        </w:tc>
      </w:tr>
      <w:tr>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11</w:t>
            </w:r>
          </w:p>
        </w:tc>
        <w:tc>
          <w:tcPr>
            <w:tcW w:type="dxa" w:w="302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Same-tender conflicts between clients</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5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w:t>
            </w:r>
          </w:p>
        </w:tc>
        <w:tc>
          <w:tcPr>
            <w:tcW w:type="dxa" w:w="4840"/>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Conflict policy: never serve two clients on the same lot without disclosure and consent; default is decline-second-client; conflicts register maintained.</w:t>
            </w:r>
          </w:p>
        </w:tc>
      </w:tr>
      <w:tr>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12</w:t>
            </w:r>
          </w:p>
        </w:tc>
        <w:tc>
          <w:tcPr>
            <w:tcW w:type="dxa" w:w="302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Reputational contagion from a client's own misconduct</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L</w:t>
            </w:r>
          </w:p>
        </w:tc>
        <w:tc>
          <w:tcPr>
            <w:tcW w:type="dxa" w:w="5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H</w:t>
            </w:r>
          </w:p>
        </w:tc>
        <w:tc>
          <w:tcPr>
            <w:tcW w:type="dxa" w:w="484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KYC-lite onboarding; engagement letters permit immediate withdrawal; no success-fee dependence on any single award.</w:t>
            </w:r>
          </w:p>
        </w:tc>
      </w:tr>
    </w:tbl>
    <w:p>
      <w:pPr>
        <w:pBdr>
          <w:bottom w:val="single" w:color="1F3A5F" w:sz="8" w:space="2"/>
        </w:pBdr>
        <w:spacing w:after="220" w:before="60"/>
      </w:pPr>
    </w:p>
    <w:p>
      <w:pPr>
        <w:pStyle w:val="Heading1"/>
        <w:spacing w:after="180" w:before="320"/>
      </w:pPr>
      <w:r>
        <w:t xml:space="preserve">14. Integrity, Legal &amp; Data Protection</w:t>
      </w:r>
    </w:p>
    <w:p>
      <w:pPr>
        <w:pStyle w:val="Heading2"/>
        <w:spacing w:after="140" w:before="240"/>
      </w:pPr>
      <w:r>
        <w:t xml:space="preserve">14.1 Red lines (constitutional — not subject to commercial pressure)</w:t>
      </w:r>
    </w:p>
    <w:p>
      <w:pPr>
        <w:pStyle w:val="ListParagraph"/>
        <w:numPr>
          <w:ilvl w:val="0"/>
          <w:numId w:val="2"/>
        </w:numPr>
        <w:spacing w:after="100" w:line="264"/>
      </w:pPr>
      <w:r>
        <w:rPr>
          <w:b w:val="false"/>
          <w:bCs w:val="false"/>
          <w:sz w:val="22"/>
          <w:szCs w:val="22"/>
        </w:rPr>
        <w:t xml:space="preserve">No facilitation payments, gratuities, or 'logistics' of any kind, to anyone, ever.</w:t>
      </w:r>
    </w:p>
    <w:p>
      <w:pPr>
        <w:pStyle w:val="ListParagraph"/>
        <w:numPr>
          <w:ilvl w:val="0"/>
          <w:numId w:val="2"/>
        </w:numPr>
        <w:spacing w:after="100" w:line="264"/>
      </w:pPr>
      <w:r>
        <w:rPr>
          <w:b w:val="false"/>
          <w:bCs w:val="false"/>
          <w:sz w:val="22"/>
          <w:szCs w:val="22"/>
        </w:rPr>
        <w:t xml:space="preserve">No relationship brokering, evaluator intelligence, or influence peddling; Valo never represents access, only production quality.</w:t>
      </w:r>
    </w:p>
    <w:p>
      <w:pPr>
        <w:pStyle w:val="ListParagraph"/>
        <w:numPr>
          <w:ilvl w:val="0"/>
          <w:numId w:val="2"/>
        </w:numPr>
        <w:spacing w:after="100" w:line="264"/>
      </w:pPr>
      <w:r>
        <w:rPr>
          <w:b w:val="false"/>
          <w:bCs w:val="false"/>
          <w:sz w:val="22"/>
          <w:szCs w:val="22"/>
        </w:rPr>
        <w:t xml:space="preserve">No assistance with bid-rigging, cover pricing, or collusive tendering; suspected collusion among a client's competitors is not Valo's business, and suspected collusion by a client ends the engagement.</w:t>
      </w:r>
    </w:p>
    <w:p>
      <w:pPr>
        <w:pStyle w:val="ListParagraph"/>
        <w:numPr>
          <w:ilvl w:val="0"/>
          <w:numId w:val="2"/>
        </w:numPr>
        <w:spacing w:after="100" w:line="264"/>
      </w:pPr>
      <w:r>
        <w:rPr>
          <w:b w:val="false"/>
          <w:bCs w:val="false"/>
          <w:sz w:val="22"/>
          <w:szCs w:val="22"/>
        </w:rPr>
        <w:t xml:space="preserve">No fabricated past performance, personnel CVs, certifications or financial statements: the Capability Library's evidence-link requirement makes unsupported claims mechanically impossible to insert into drafts, and human reviewers are trained to treat 'just put it in' as a resignation-grade instruction.</w:t>
      </w:r>
    </w:p>
    <w:p>
      <w:pPr>
        <w:pStyle w:val="Heading2"/>
        <w:spacing w:after="140" w:before="240"/>
      </w:pPr>
      <w:r>
        <w:t xml:space="preserve">14.2 Why the red lines are commercially load-bearing</w:t>
      </w:r>
    </w:p>
    <w:p>
      <w:pPr>
        <w:spacing w:after="160" w:before="0" w:line="276"/>
        <w:jc w:val="both"/>
      </w:pPr>
      <w:r>
        <w:rPr>
          <w:b w:val="false"/>
          <w:bCs w:val="false"/>
          <w:i w:val="false"/>
          <w:iCs w:val="false"/>
          <w:color w:val="222222"/>
          <w:sz w:val="22"/>
          <w:szCs w:val="22"/>
        </w:rPr>
        <w:t xml:space="preserve">Valo's long asset is being the firm whose packages evaluators trust and whose reports contractors can share with their boards. In a market where integrity is scarce, it prices at a premium and compounds through referral. The red lines also protect the founder's other ventures and residencies, which materially outweigh any single Valo contract.</w:t>
      </w:r>
    </w:p>
    <w:p>
      <w:pPr>
        <w:pStyle w:val="Heading2"/>
        <w:spacing w:after="140" w:before="240"/>
      </w:pPr>
      <w:r>
        <w:t xml:space="preserve">14.3 Legal posture</w:t>
      </w:r>
    </w:p>
    <w:p>
      <w:pPr>
        <w:pStyle w:val="ListParagraph"/>
        <w:numPr>
          <w:ilvl w:val="0"/>
          <w:numId w:val="2"/>
        </w:numPr>
        <w:spacing w:after="100" w:line="264"/>
      </w:pPr>
      <w:r>
        <w:rPr>
          <w:b w:val="false"/>
          <w:bCs w:val="false"/>
          <w:sz w:val="22"/>
          <w:szCs w:val="22"/>
        </w:rPr>
        <w:t xml:space="preserve">Engagement letters: fixed scope, prepayment, liability capped at fees paid, no warranty of contract award or evaluator acceptance (Valo warrants process, not outcome, and only within the reviewed materials), client warranty of document authenticity, immediate-withdrawal clause.</w:t>
      </w:r>
    </w:p>
    <w:p>
      <w:pPr>
        <w:pStyle w:val="ListParagraph"/>
        <w:numPr>
          <w:ilvl w:val="0"/>
          <w:numId w:val="2"/>
        </w:numPr>
        <w:spacing w:after="100" w:line="264"/>
      </w:pPr>
      <w:r>
        <w:rPr>
          <w:b w:val="false"/>
          <w:bCs w:val="false"/>
          <w:sz w:val="22"/>
          <w:szCs w:val="22"/>
        </w:rPr>
        <w:t xml:space="preserve">Professional-indemnity insurance quoted at Phase 1; bound before the first ₦1m+ assisted bid.</w:t>
      </w:r>
    </w:p>
    <w:p>
      <w:pPr>
        <w:pStyle w:val="ListParagraph"/>
        <w:numPr>
          <w:ilvl w:val="0"/>
          <w:numId w:val="2"/>
        </w:numPr>
        <w:spacing w:after="100" w:line="264"/>
      </w:pPr>
      <w:r>
        <w:rPr>
          <w:b w:val="false"/>
          <w:bCs w:val="false"/>
          <w:sz w:val="22"/>
          <w:szCs w:val="22"/>
        </w:rPr>
        <w:t xml:space="preserve">NDPA compliance programme per §5.3; DPAs standard; regional data-pinning options for sensitive clients.</w:t>
      </w:r>
    </w:p>
    <w:p>
      <w:pPr>
        <w:pStyle w:val="ListParagraph"/>
        <w:numPr>
          <w:ilvl w:val="0"/>
          <w:numId w:val="2"/>
        </w:numPr>
        <w:spacing w:after="100" w:line="264"/>
      </w:pPr>
      <w:r>
        <w:rPr>
          <w:b w:val="false"/>
          <w:bCs w:val="false"/>
          <w:sz w:val="22"/>
          <w:szCs w:val="22"/>
        </w:rPr>
        <w:t xml:space="preserve">IP: Valo owns the engine, templates and anonymised defect corpus; clients own their documents and libraries; anonymised, aggregated defect statistics may be published (flagship report) under explicit contract language.</w:t>
      </w:r>
    </w:p>
    <w:p>
      <w:pPr>
        <w:pBdr>
          <w:bottom w:val="single" w:color="1F3A5F" w:sz="8" w:space="2"/>
        </w:pBdr>
        <w:spacing w:after="220" w:before="60"/>
      </w:pPr>
    </w:p>
    <w:p>
      <w:pPr>
        <w:pStyle w:val="Heading1"/>
        <w:spacing w:after="180" w:before="320"/>
      </w:pPr>
      <w:r>
        <w:t xml:space="preserve">15. Roadmap &amp; Milestones</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340"/>
        <w:gridCol w:w="1200"/>
        <w:gridCol w:w="3560"/>
        <w:gridCol w:w="2260"/>
      </w:tblGrid>
      <w:tr>
        <w:trPr>
          <w:tblHeader/>
        </w:trPr>
        <w:tc>
          <w:tcPr>
            <w:tcW w:type="dxa" w:w="234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Phase</w:t>
            </w:r>
          </w:p>
        </w:tc>
        <w:tc>
          <w:tcPr>
            <w:tcW w:type="dxa" w:w="12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Months</w:t>
            </w:r>
          </w:p>
        </w:tc>
        <w:tc>
          <w:tcPr>
            <w:tcW w:type="dxa" w:w="35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Focus</w:t>
            </w:r>
          </w:p>
        </w:tc>
        <w:tc>
          <w:tcPr>
            <w:tcW w:type="dxa" w:w="22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Exit criteria</w:t>
            </w:r>
          </w:p>
        </w:tc>
      </w:tr>
      <w:tr>
        <w:tc>
          <w:tcPr>
            <w:tcW w:type="dxa" w:w="2340"/>
            <w:tcMar>
              <w:top w:type="dxa" w:w="70"/>
              <w:left w:type="dxa" w:w="110"/>
              <w:bottom w:type="dxa" w:w="70"/>
              <w:right w:type="dxa" w:w="110"/>
            </w:tcMar>
            <w:vAlign w:val="center"/>
          </w:tcPr>
          <w:p>
            <w:pPr>
              <w:spacing w:after="0" w:line="240"/>
              <w:jc w:val="left"/>
            </w:pPr>
            <w:r>
              <w:rPr>
                <w:b/>
                <w:bCs/>
                <w:color w:val="222222"/>
                <w:sz w:val="20"/>
                <w:szCs w:val="20"/>
              </w:rPr>
              <w:t xml:space="preserve">Phase 0 — Gate 0</w:t>
            </w:r>
          </w:p>
        </w:tc>
        <w:tc>
          <w:tcPr>
            <w:tcW w:type="dxa" w:w="1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M1–2</w:t>
            </w:r>
          </w:p>
        </w:tc>
        <w:tc>
          <w:tcPr>
            <w:tcW w:type="dxa" w:w="3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Autopsy pipeline v0; 8–10 package collections; 5 free autopsies; presell</w:t>
            </w:r>
          </w:p>
        </w:tc>
        <w:tc>
          <w:tcPr>
            <w:tcW w:type="dxa" w:w="2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Pass/kill table in §10.2</w:t>
            </w:r>
          </w:p>
        </w:tc>
      </w:tr>
      <w:tr>
        <w:tc>
          <w:tcPr>
            <w:tcW w:type="dxa" w:w="234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Phase 1 — Productised service</w:t>
            </w:r>
          </w:p>
        </w:tc>
        <w:tc>
          <w:tcPr>
            <w:tcW w:type="dxa" w:w="1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M3–8</w:t>
            </w:r>
          </w:p>
        </w:tc>
        <w:tc>
          <w:tcPr>
            <w:tcW w:type="dxa" w:w="3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Vault v1, BOQ Verifier, Assembly v1; 20+ paid engagements; advisor QA regime; first retainers; PI insurance</w:t>
            </w:r>
          </w:p>
        </w:tc>
        <w:tc>
          <w:tcPr>
            <w:tcW w:type="dxa" w:w="2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4 retainers; ≥ 40% autopsy→mandate conversion; NPS-grade referrals</w:t>
            </w:r>
          </w:p>
        </w:tc>
      </w:tr>
      <w:tr>
        <w:tc>
          <w:tcPr>
            <w:tcW w:type="dxa" w:w="2340"/>
            <w:tcMar>
              <w:top w:type="dxa" w:w="70"/>
              <w:left w:type="dxa" w:w="110"/>
              <w:bottom w:type="dxa" w:w="70"/>
              <w:right w:type="dxa" w:w="110"/>
            </w:tcMar>
            <w:vAlign w:val="center"/>
          </w:tcPr>
          <w:p>
            <w:pPr>
              <w:spacing w:after="0" w:line="240"/>
              <w:jc w:val="left"/>
            </w:pPr>
            <w:r>
              <w:rPr>
                <w:b/>
                <w:bCs/>
                <w:color w:val="222222"/>
                <w:sz w:val="20"/>
                <w:szCs w:val="20"/>
              </w:rPr>
              <w:t xml:space="preserve">Phase 2 — Platform &amp; channel</w:t>
            </w:r>
          </w:p>
        </w:tc>
        <w:tc>
          <w:tcPr>
            <w:tcW w:type="dxa" w:w="12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M9–18</w:t>
            </w:r>
          </w:p>
        </w:tc>
        <w:tc>
          <w:tcPr>
            <w:tcW w:type="dxa" w:w="35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Self-serve Vault tier; guided workspace; consultancy white-label (2–3 partners); flagship defect report #1; NipeX-belt push</w:t>
            </w:r>
          </w:p>
        </w:tc>
        <w:tc>
          <w:tcPr>
            <w:tcW w:type="dxa" w:w="2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Retainer+platform ≥ 50% of revenue; ₦8m+ average monthly revenue; channel producing ≥ 20% of new logos; Replacement-Cost Crossover on trajectory (recurring MRR ≥ ₦4.5m by ~M16, base)</w:t>
            </w:r>
          </w:p>
        </w:tc>
      </w:tr>
      <w:tr>
        <w:tc>
          <w:tcPr>
            <w:tcW w:type="dxa" w:w="234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Phase 3 — Scale &amp; GCC edition</w:t>
            </w:r>
          </w:p>
        </w:tc>
        <w:tc>
          <w:tcPr>
            <w:tcW w:type="dxa" w:w="12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M19–36</w:t>
            </w:r>
          </w:p>
        </w:tc>
        <w:tc>
          <w:tcPr>
            <w:tcW w:type="dxa" w:w="35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Second analyst + engineer; Monaqasat (Qatar) localisation pilot from Doha; bilingual EN/AR; optional seed decision</w:t>
            </w:r>
          </w:p>
        </w:tc>
        <w:tc>
          <w:tcPr>
            <w:tcW w:type="dxa" w:w="2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Base-case M36 run-rate; first GCC paying clients; seed raised only if it accelerates an already-working machine</w:t>
            </w:r>
          </w:p>
        </w:tc>
      </w:tr>
    </w:tbl>
    <w:p>
      <w:pPr>
        <w:pBdr>
          <w:bottom w:val="single" w:color="1F3A5F" w:sz="8" w:space="2"/>
        </w:pBdr>
        <w:spacing w:after="220" w:before="60"/>
      </w:pPr>
    </w:p>
    <w:p>
      <w:pPr>
        <w:pStyle w:val="Heading1"/>
        <w:spacing w:after="180" w:before="320"/>
      </w:pPr>
      <w:r>
        <w:t xml:space="preserve">16. The GCC Extension (Doha Arc)</w:t>
      </w:r>
    </w:p>
    <w:p>
      <w:pPr>
        <w:spacing w:after="160" w:before="0" w:line="276"/>
        <w:jc w:val="both"/>
      </w:pPr>
      <w:r>
        <w:rPr>
          <w:b w:val="false"/>
          <w:bCs w:val="false"/>
          <w:i w:val="false"/>
          <w:iCs w:val="false"/>
          <w:color w:val="222222"/>
          <w:sz w:val="22"/>
          <w:szCs w:val="22"/>
        </w:rPr>
        <w:t xml:space="preserve">The founder's permanent relocation to Doha converts a constraint into the venture's second act. Gulf government tendering runs through structured portals — Qatar's Monaqasat, Saudi Arabia's Etimad — with formal prequalification, bilingual documentation and unforgiving formatting: the same disqualification-defense problem in a higher-ARPU market. The engine ports; the compliance taxonomy and language layer localise; the founder's Qatari residency platform and incubator network provide the beachhead relationships.</w:t>
      </w:r>
    </w:p>
    <w:p>
      <w:pPr>
        <w:pStyle w:val="ListParagraph"/>
        <w:numPr>
          <w:ilvl w:val="0"/>
          <w:numId w:val="2"/>
        </w:numPr>
        <w:spacing w:after="100" w:line="264"/>
      </w:pPr>
      <w:r>
        <w:rPr>
          <w:b w:val="false"/>
          <w:bCs w:val="false"/>
          <w:sz w:val="22"/>
          <w:szCs w:val="22"/>
        </w:rPr>
        <w:t xml:space="preserve">Sequencing discipline: no GCC build before Phase 3, and only on Nigerian traction — the Nigerian business must earn the right to be a template.</w:t>
      </w:r>
    </w:p>
    <w:p>
      <w:pPr>
        <w:pStyle w:val="ListParagraph"/>
        <w:numPr>
          <w:ilvl w:val="0"/>
          <w:numId w:val="2"/>
        </w:numPr>
        <w:spacing w:after="100" w:line="264"/>
      </w:pPr>
      <w:r>
        <w:rPr>
          <w:b w:val="false"/>
          <w:bCs w:val="false"/>
          <w:sz w:val="22"/>
          <w:szCs w:val="22"/>
        </w:rPr>
        <w:t xml:space="preserve">Entity and licensing: Qatari vehicle decided at Phase 3 alongside the founder's residency structure; until then, GCC work is exploratory only.</w:t>
      </w:r>
    </w:p>
    <w:p>
      <w:pPr>
        <w:pStyle w:val="ListParagraph"/>
        <w:numPr>
          <w:ilvl w:val="0"/>
          <w:numId w:val="2"/>
        </w:numPr>
        <w:spacing w:after="100" w:line="264"/>
      </w:pPr>
      <w:r>
        <w:rPr>
          <w:b w:val="false"/>
          <w:bCs w:val="false"/>
          <w:sz w:val="22"/>
          <w:szCs w:val="22"/>
        </w:rPr>
        <w:t xml:space="preserve">Strategic meaning: a credible 'emerging-markets AutogenAI' story — Nigeria proves it in the hardest document environment; the GCC pays for it at Gulf prices. This is the line that turns a solid Nigerian services company into a venture-scale narrative, and it is kept strictly optional so the plan never depends on it.</w:t>
      </w:r>
    </w:p>
    <w:p>
      <w:pPr>
        <w:pBdr>
          <w:bottom w:val="single" w:color="1F3A5F" w:sz="8" w:space="2"/>
        </w:pBdr>
        <w:spacing w:after="220" w:before="60"/>
      </w:pPr>
    </w:p>
    <w:p>
      <w:pPr>
        <w:pStyle w:val="Heading1"/>
        <w:spacing w:after="180" w:before="320"/>
      </w:pPr>
      <w:r>
        <w:t xml:space="preserve">17. Funding Strategy</w:t>
      </w:r>
    </w:p>
    <w:p>
      <w:pPr>
        <w:spacing w:after="160" w:before="0" w:line="276"/>
        <w:jc w:val="both"/>
      </w:pPr>
      <w:r>
        <w:rPr>
          <w:b w:val="false"/>
          <w:bCs w:val="false"/>
          <w:i w:val="false"/>
          <w:iCs w:val="false"/>
          <w:color w:val="222222"/>
          <w:sz w:val="22"/>
          <w:szCs w:val="22"/>
        </w:rPr>
        <w:t xml:space="preserve">Valo is bootstrapped by design. The US$20,000 is survivability capital, not growth capital; the constrained case never fully deploys it. External money is considered only at Phase 3, only to accelerate a machine already working (channel scaling, platform engineering, GCC localisation), and only after the financial model demonstrates that the raise is an acceleration rather than a rescue — a lesson imported deliberately from the founder's prior modelling work, where a raise timed by narrative rather than by cash reality nearly embedded an eighteen-month trap. Target, if taken: ₦75–120m (≈ US$50–80k) angel/strategic at M18–24, with a consultancy-network strategic preferred over generic capital.</w:t>
      </w:r>
    </w:p>
    <w:p>
      <w:pPr>
        <w:spacing w:after="160" w:before="0" w:line="276"/>
        <w:jc w:val="both"/>
      </w:pPr>
      <w:r>
        <w:rPr>
          <w:b w:val="false"/>
          <w:bCs w:val="false"/>
          <w:i w:val="false"/>
          <w:iCs w:val="false"/>
          <w:color w:val="222222"/>
          <w:sz w:val="22"/>
          <w:szCs w:val="22"/>
        </w:rPr>
        <w:t xml:space="preserve">A deliberate non-goal: no government grants or politically exposed capital in Years 1–2. Independence from the buyer side of the market is part of the integrity position.</w:t>
      </w:r>
    </w:p>
    <w:p>
      <w:pPr>
        <w:pBdr>
          <w:bottom w:val="single" w:color="1F3A5F" w:sz="8" w:space="2"/>
        </w:pBdr>
        <w:spacing w:after="220" w:before="60"/>
      </w:pPr>
    </w:p>
    <w:p>
      <w:pPr>
        <w:pStyle w:val="Heading1"/>
        <w:spacing w:after="180" w:before="320"/>
      </w:pPr>
      <w:r>
        <w:t xml:space="preserve">18. KPIs &amp; Governance</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2700"/>
        <w:gridCol w:w="4260"/>
        <w:gridCol w:w="2400"/>
      </w:tblGrid>
      <w:tr>
        <w:trPr>
          <w:tblHeader/>
        </w:trPr>
        <w:tc>
          <w:tcPr>
            <w:tcW w:type="dxa" w:w="27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KPI</w:t>
            </w:r>
          </w:p>
        </w:tc>
        <w:tc>
          <w:tcPr>
            <w:tcW w:type="dxa" w:w="42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Definition</w:t>
            </w:r>
          </w:p>
        </w:tc>
        <w:tc>
          <w:tcPr>
            <w:tcW w:type="dxa" w:w="2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Year-1 target</w:t>
            </w:r>
          </w:p>
        </w:tc>
      </w:tr>
      <w:tr>
        <w:tc>
          <w:tcPr>
            <w:tcW w:type="dxa" w:w="2700"/>
            <w:tcMar>
              <w:top w:type="dxa" w:w="70"/>
              <w:left w:type="dxa" w:w="110"/>
              <w:bottom w:type="dxa" w:w="70"/>
              <w:right w:type="dxa" w:w="110"/>
            </w:tcMar>
            <w:vAlign w:val="center"/>
          </w:tcPr>
          <w:p>
            <w:pPr>
              <w:spacing w:after="0" w:line="240"/>
              <w:jc w:val="left"/>
            </w:pPr>
            <w:r>
              <w:rPr>
                <w:b/>
                <w:bCs/>
                <w:color w:val="222222"/>
                <w:sz w:val="20"/>
                <w:szCs w:val="20"/>
              </w:rPr>
              <w:t xml:space="preserve">Autopsy→mandate conversion</w:t>
            </w:r>
          </w:p>
        </w:tc>
        <w:tc>
          <w:tcPr>
            <w:tcW w:type="dxa" w:w="4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Paid mandates ÷ autopsies delivered (rolling 10)</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40%</w:t>
            </w:r>
          </w:p>
        </w:tc>
      </w:tr>
      <w:tr>
        <w:tc>
          <w:tcPr>
            <w:tcW w:type="dxa" w:w="27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Material-defect detection rate</w:t>
            </w:r>
          </w:p>
        </w:tc>
        <w:tc>
          <w:tcPr>
            <w:tcW w:type="dxa" w:w="4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Packages with fatal/likely-fatal findings ÷ packages audited</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50% (validates market); trending down per client (validates product)</w:t>
            </w:r>
          </w:p>
        </w:tc>
      </w:tr>
      <w:tr>
        <w:tc>
          <w:tcPr>
            <w:tcW w:type="dxa" w:w="2700"/>
            <w:tcMar>
              <w:top w:type="dxa" w:w="70"/>
              <w:left w:type="dxa" w:w="110"/>
              <w:bottom w:type="dxa" w:w="70"/>
              <w:right w:type="dxa" w:w="110"/>
            </w:tcMar>
            <w:vAlign w:val="center"/>
          </w:tcPr>
          <w:p>
            <w:pPr>
              <w:spacing w:after="0" w:line="240"/>
              <w:jc w:val="left"/>
            </w:pPr>
            <w:r>
              <w:rPr>
                <w:b/>
                <w:bCs/>
                <w:color w:val="222222"/>
                <w:sz w:val="20"/>
                <w:szCs w:val="20"/>
              </w:rPr>
              <w:t xml:space="preserve">Client disqualification rate</w:t>
            </w:r>
          </w:p>
        </w:tc>
        <w:tc>
          <w:tcPr>
            <w:tcW w:type="dxa" w:w="4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Client submissions declared non-responsive ÷ client submissions</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&lt; 2%</w:t>
            </w:r>
          </w:p>
        </w:tc>
      </w:tr>
      <w:tr>
        <w:tc>
          <w:tcPr>
            <w:tcW w:type="dxa" w:w="27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On-time submission rate</w:t>
            </w:r>
          </w:p>
        </w:tc>
        <w:tc>
          <w:tcPr>
            <w:tcW w:type="dxa" w:w="4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Assisted bids delivered to deadline ÷ total</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100% — non-negotiable</w:t>
            </w:r>
          </w:p>
        </w:tc>
      </w:tr>
      <w:tr>
        <w:tc>
          <w:tcPr>
            <w:tcW w:type="dxa" w:w="2700"/>
            <w:tcMar>
              <w:top w:type="dxa" w:w="70"/>
              <w:left w:type="dxa" w:w="110"/>
              <w:bottom w:type="dxa" w:w="70"/>
              <w:right w:type="dxa" w:w="110"/>
            </w:tcMar>
            <w:vAlign w:val="center"/>
          </w:tcPr>
          <w:p>
            <w:pPr>
              <w:spacing w:after="0" w:line="240"/>
              <w:jc w:val="left"/>
            </w:pPr>
            <w:r>
              <w:rPr>
                <w:b/>
                <w:bCs/>
                <w:color w:val="222222"/>
                <w:sz w:val="20"/>
                <w:szCs w:val="20"/>
              </w:rPr>
              <w:t xml:space="preserve">Extraction recall (engine)</w:t>
            </w:r>
          </w:p>
        </w:tc>
        <w:tc>
          <w:tcPr>
            <w:tcW w:type="dxa" w:w="4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Requirements confirmed by human review that the engine caught ÷ total confirmed</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95% by M6</w:t>
            </w:r>
          </w:p>
        </w:tc>
      </w:tr>
      <w:tr>
        <w:tc>
          <w:tcPr>
            <w:tcW w:type="dxa" w:w="27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Retainer net revenue retention</w:t>
            </w:r>
          </w:p>
        </w:tc>
        <w:tc>
          <w:tcPr>
            <w:tcW w:type="dxa" w:w="4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Cohort revenue retention incl. upsell</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100% (≥ 110% Year 2)</w:t>
            </w:r>
          </w:p>
        </w:tc>
      </w:tr>
      <w:tr>
        <w:tc>
          <w:tcPr>
            <w:tcW w:type="dxa" w:w="2700"/>
            <w:tcMar>
              <w:top w:type="dxa" w:w="70"/>
              <w:left w:type="dxa" w:w="110"/>
              <w:bottom w:type="dxa" w:w="70"/>
              <w:right w:type="dxa" w:w="110"/>
            </w:tcMar>
            <w:vAlign w:val="center"/>
          </w:tcPr>
          <w:p>
            <w:pPr>
              <w:spacing w:after="0" w:line="240"/>
              <w:jc w:val="left"/>
            </w:pPr>
            <w:r>
              <w:rPr>
                <w:b/>
                <w:bCs/>
                <w:color w:val="222222"/>
                <w:sz w:val="20"/>
                <w:szCs w:val="20"/>
              </w:rPr>
              <w:t xml:space="preserve">Gross margin</w:t>
            </w:r>
          </w:p>
        </w:tc>
        <w:tc>
          <w:tcPr>
            <w:tcW w:type="dxa" w:w="4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Revenue minus direct delivery cost</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70%</w:t>
            </w:r>
          </w:p>
        </w:tc>
      </w:tr>
      <w:tr>
        <w:tc>
          <w:tcPr>
            <w:tcW w:type="dxa" w:w="27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Founder-replacement coverage</w:t>
            </w:r>
          </w:p>
        </w:tc>
        <w:tc>
          <w:tcPr>
            <w:tcW w:type="dxa" w:w="42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(Retainer + platform MRR) ÷ ₦4.5m replacement cost</w:t>
            </w:r>
          </w:p>
        </w:tc>
        <w:tc>
          <w:tcPr>
            <w:tcW w:type="dxa" w:w="24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 0.5 by M12; crossover ≥ 1.0 targeted M14–16 (base)</w:t>
            </w:r>
          </w:p>
        </w:tc>
      </w:tr>
      <w:tr>
        <w:tc>
          <w:tcPr>
            <w:tcW w:type="dxa" w:w="2700"/>
            <w:tcMar>
              <w:top w:type="dxa" w:w="70"/>
              <w:left w:type="dxa" w:w="110"/>
              <w:bottom w:type="dxa" w:w="70"/>
              <w:right w:type="dxa" w:w="110"/>
            </w:tcMar>
            <w:vAlign w:val="center"/>
          </w:tcPr>
          <w:p>
            <w:pPr>
              <w:spacing w:after="0" w:line="240"/>
              <w:jc w:val="left"/>
            </w:pPr>
            <w:r>
              <w:rPr>
                <w:b/>
                <w:bCs/>
                <w:color w:val="222222"/>
                <w:sz w:val="20"/>
                <w:szCs w:val="20"/>
              </w:rPr>
              <w:t xml:space="preserve">Referral share of new logos</w:t>
            </w:r>
          </w:p>
        </w:tc>
        <w:tc>
          <w:tcPr>
            <w:tcW w:type="dxa" w:w="42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New clients from referral ÷ total new</w:t>
            </w:r>
          </w:p>
        </w:tc>
        <w:tc>
          <w:tcPr>
            <w:tcW w:type="dxa" w:w="24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 50% by Q4</w:t>
            </w:r>
          </w:p>
        </w:tc>
      </w:tr>
    </w:tbl>
    <w:p>
      <w:pPr>
        <w:spacing w:after="120"/>
      </w:pPr>
    </w:p>
    <w:p>
      <w:pPr>
        <w:spacing w:after="160" w:before="0" w:line="276"/>
        <w:jc w:val="both"/>
      </w:pPr>
      <w:r>
        <w:rPr>
          <w:b w:val="false"/>
          <w:bCs w:val="false"/>
          <w:i w:val="false"/>
          <w:iCs w:val="false"/>
          <w:color w:val="222222"/>
          <w:sz w:val="22"/>
          <w:szCs w:val="22"/>
        </w:rPr>
        <w:t xml:space="preserve">Governance rhythm: a written monthly founder memo (numbers vs. plan, probability revisions, kill-condition status); a quarterly gate review against §10.3; and an annual re-derivation of this plan. The discipline is the same one applied across the founder's portfolio: verdict first, probabilities in writing, kill criteria that actually kill.</w:t>
      </w:r>
    </w:p>
    <w:p>
      <w:r>
        <w:br w:type="page"/>
      </w:r>
    </w:p>
    <w:p>
      <w:pPr>
        <w:pStyle w:val="Heading1"/>
        <w:spacing w:after="180" w:before="320"/>
      </w:pPr>
      <w:r>
        <w:t xml:space="preserve">Appendix A — Bid Autopsy Report Structure</w:t>
      </w:r>
    </w:p>
    <w:p>
      <w:pPr>
        <w:pStyle w:val="ListParagraph"/>
        <w:numPr>
          <w:ilvl w:val="0"/>
          <w:numId w:val="2"/>
        </w:numPr>
        <w:spacing w:after="100" w:line="264"/>
      </w:pPr>
      <w:r>
        <w:rPr>
          <w:b w:val="false"/>
          <w:bCs w:val="false"/>
          <w:sz w:val="22"/>
          <w:szCs w:val="22"/>
        </w:rPr>
        <w:t xml:space="preserve">A. Engagement summary: tender reference, issuing entity, contract value band, submission status, documents received, scope and limitations.</w:t>
      </w:r>
    </w:p>
    <w:p>
      <w:pPr>
        <w:pStyle w:val="ListParagraph"/>
        <w:numPr>
          <w:ilvl w:val="0"/>
          <w:numId w:val="2"/>
        </w:numPr>
        <w:spacing w:after="100" w:line="264"/>
      </w:pPr>
      <w:r>
        <w:rPr>
          <w:b w:val="false"/>
          <w:bCs w:val="false"/>
          <w:sz w:val="22"/>
          <w:szCs w:val="22"/>
        </w:rPr>
        <w:t xml:space="preserve">B. Requirement matrix: every mandatory requirement with verbatim source citation (document / page / paragraph), classification (eligibility, administrative, technical, financial-format), and evidence expected.</w:t>
      </w:r>
    </w:p>
    <w:p>
      <w:pPr>
        <w:pStyle w:val="ListParagraph"/>
        <w:numPr>
          <w:ilvl w:val="0"/>
          <w:numId w:val="2"/>
        </w:numPr>
        <w:spacing w:after="100" w:line="264"/>
      </w:pPr>
      <w:r>
        <w:rPr>
          <w:b w:val="false"/>
          <w:bCs w:val="false"/>
          <w:sz w:val="22"/>
          <w:szCs w:val="22"/>
        </w:rPr>
        <w:t xml:space="preserve">C. Defect register: per defect — description, matrix reference, type (validity/expiry · omission · arithmetic · formatting · responsiveness · eligibility), severity (fatal · likely-fatal · scoring-risk · cosmetic), evidence snapshot, remediation.</w:t>
      </w:r>
    </w:p>
    <w:p>
      <w:pPr>
        <w:pStyle w:val="ListParagraph"/>
        <w:numPr>
          <w:ilvl w:val="0"/>
          <w:numId w:val="2"/>
        </w:numPr>
        <w:spacing w:after="100" w:line="264"/>
      </w:pPr>
      <w:r>
        <w:rPr>
          <w:b w:val="false"/>
          <w:bCs w:val="false"/>
          <w:sz w:val="22"/>
          <w:szCs w:val="22"/>
        </w:rPr>
        <w:t xml:space="preserve">D. Disqualification-risk score: package-level score with method note; comparison to anonymised base rates once the corpus permits.</w:t>
      </w:r>
    </w:p>
    <w:p>
      <w:pPr>
        <w:pStyle w:val="ListParagraph"/>
        <w:numPr>
          <w:ilvl w:val="0"/>
          <w:numId w:val="2"/>
        </w:numPr>
        <w:spacing w:after="100" w:line="264"/>
      </w:pPr>
      <w:r>
        <w:rPr>
          <w:b w:val="false"/>
          <w:bCs w:val="false"/>
          <w:sz w:val="22"/>
          <w:szCs w:val="22"/>
        </w:rPr>
        <w:t xml:space="preserve">E. Responsiveness review: technical narrative mapped against published evaluation criteria; unsupported-claim flags; scoring-risk commentary.</w:t>
      </w:r>
    </w:p>
    <w:p>
      <w:pPr>
        <w:pStyle w:val="ListParagraph"/>
        <w:numPr>
          <w:ilvl w:val="0"/>
          <w:numId w:val="2"/>
        </w:numPr>
        <w:spacing w:after="100" w:line="264"/>
      </w:pPr>
      <w:r>
        <w:rPr>
          <w:b w:val="false"/>
          <w:bCs w:val="false"/>
          <w:sz w:val="22"/>
          <w:szCs w:val="22"/>
        </w:rPr>
        <w:t xml:space="preserve">F. BOQ verification annex: arithmetic checks, rate/extension consistency, words-vs-figures reconciliation.</w:t>
      </w:r>
    </w:p>
    <w:p>
      <w:pPr>
        <w:pStyle w:val="ListParagraph"/>
        <w:numPr>
          <w:ilvl w:val="0"/>
          <w:numId w:val="2"/>
        </w:numPr>
        <w:spacing w:after="100" w:line="264"/>
      </w:pPr>
      <w:r>
        <w:rPr>
          <w:b w:val="false"/>
          <w:bCs w:val="false"/>
          <w:sz w:val="22"/>
          <w:szCs w:val="22"/>
        </w:rPr>
        <w:t xml:space="preserve">G. Remediation plan: prioritised actions with owners and dates; certificate renewal calendar seeded into the Vault on engagement.</w:t>
      </w:r>
    </w:p>
    <w:p>
      <w:pPr>
        <w:pStyle w:val="ListParagraph"/>
        <w:numPr>
          <w:ilvl w:val="0"/>
          <w:numId w:val="2"/>
        </w:numPr>
        <w:spacing w:after="100" w:line="264"/>
      </w:pPr>
      <w:r>
        <w:rPr>
          <w:b w:val="false"/>
          <w:bCs w:val="false"/>
          <w:sz w:val="22"/>
          <w:szCs w:val="22"/>
        </w:rPr>
        <w:t xml:space="preserve">H. Sign-off page: named reviewer, engine version, human-review attestation, confidentiality legend.</w:t>
      </w:r>
    </w:p>
    <w:p>
      <w:pPr>
        <w:pBdr>
          <w:bottom w:val="single" w:color="1F3A5F" w:sz="8" w:space="2"/>
        </w:pBdr>
        <w:spacing w:after="220" w:before="60"/>
      </w:pPr>
    </w:p>
    <w:p>
      <w:pPr>
        <w:pStyle w:val="Heading1"/>
        <w:spacing w:after="180" w:before="320"/>
      </w:pPr>
      <w:r>
        <w:t xml:space="preserve">Appendix B — Nigerian Compliance Document Taxonomy (working set)</w:t>
      </w:r>
    </w:p>
    <w:p>
      <w:pPr>
        <w:spacing w:after="160" w:before="0" w:line="276"/>
        <w:jc w:val="both"/>
      </w:pPr>
      <w:r>
        <w:rPr>
          <w:b w:val="false"/>
          <w:bCs w:val="false"/>
          <w:i w:val="false"/>
          <w:iCs w:val="false"/>
          <w:color w:val="222222"/>
          <w:sz w:val="22"/>
          <w:szCs w:val="22"/>
        </w:rPr>
        <w:t xml:space="preserve">Maintained as a living register in the engine; the launch set covers the artefacts most frequently fatal in practice:</w:t>
      </w:r>
    </w:p>
    <w:p>
      <w:pPr>
        <w:pStyle w:val="ListParagraph"/>
        <w:numPr>
          <w:ilvl w:val="0"/>
          <w:numId w:val="2"/>
        </w:numPr>
        <w:spacing w:after="100" w:line="264"/>
      </w:pPr>
      <w:r>
        <w:rPr>
          <w:b w:val="false"/>
          <w:bCs w:val="false"/>
          <w:sz w:val="22"/>
          <w:szCs w:val="22"/>
        </w:rPr>
        <w:t xml:space="preserve">Corporate: CAC incorporation and status report; TIN; VAT registration; BPP/CCSP registration and category; SCUML where applicable.</w:t>
      </w:r>
    </w:p>
    <w:p>
      <w:pPr>
        <w:pStyle w:val="ListParagraph"/>
        <w:numPr>
          <w:ilvl w:val="0"/>
          <w:numId w:val="2"/>
        </w:numPr>
        <w:spacing w:after="100" w:line="264"/>
      </w:pPr>
      <w:r>
        <w:rPr>
          <w:b w:val="false"/>
          <w:bCs w:val="false"/>
          <w:sz w:val="22"/>
          <w:szCs w:val="22"/>
        </w:rPr>
        <w:t xml:space="preserve">Fiscal: current Tax Clearance Certificate (3-year); audited financial statements (per tender's look-back); bank reference/solvency letters.</w:t>
      </w:r>
    </w:p>
    <w:p>
      <w:pPr>
        <w:pStyle w:val="ListParagraph"/>
        <w:numPr>
          <w:ilvl w:val="0"/>
          <w:numId w:val="2"/>
        </w:numPr>
        <w:spacing w:after="100" w:line="264"/>
      </w:pPr>
      <w:r>
        <w:rPr>
          <w:b w:val="false"/>
          <w:bCs w:val="false"/>
          <w:sz w:val="22"/>
          <w:szCs w:val="22"/>
        </w:rPr>
        <w:t xml:space="preserve">Statutory-social: PENCOM compliance certificate; ITF compliance certificate; NSITF compliance certificate; group life insurance evidence.</w:t>
      </w:r>
    </w:p>
    <w:p>
      <w:pPr>
        <w:pStyle w:val="ListParagraph"/>
        <w:numPr>
          <w:ilvl w:val="0"/>
          <w:numId w:val="2"/>
        </w:numPr>
        <w:spacing w:after="100" w:line="264"/>
      </w:pPr>
      <w:r>
        <w:rPr>
          <w:b w:val="false"/>
          <w:bCs w:val="false"/>
          <w:sz w:val="22"/>
          <w:szCs w:val="22"/>
        </w:rPr>
        <w:t xml:space="preserve">Sectoral: NCDMB/NOGICD content documentation and NipeX registration (oil &amp; gas); professional body licences (COREN, ARCON, QSRBN et al.) as applicable; DPR/NUPRC-lineage permits where relevant.</w:t>
      </w:r>
    </w:p>
    <w:p>
      <w:pPr>
        <w:pStyle w:val="ListParagraph"/>
        <w:numPr>
          <w:ilvl w:val="0"/>
          <w:numId w:val="2"/>
        </w:numPr>
        <w:spacing w:after="100" w:line="264"/>
      </w:pPr>
      <w:r>
        <w:rPr>
          <w:b w:val="false"/>
          <w:bCs w:val="false"/>
          <w:sz w:val="22"/>
          <w:szCs w:val="22"/>
        </w:rPr>
        <w:t xml:space="preserve">Tender-specific: bid security/bond in prescribed format; sworn affidavits (non-collusion, no insolvency, no conviction, verification of claims); power of attorney/authorised signatory evidence; joint-venture agreements and each partner's full stack.</w:t>
      </w:r>
    </w:p>
    <w:p>
      <w:pPr>
        <w:pStyle w:val="ListParagraph"/>
        <w:numPr>
          <w:ilvl w:val="0"/>
          <w:numId w:val="2"/>
        </w:numPr>
        <w:spacing w:after="100" w:line="264"/>
      </w:pPr>
      <w:r>
        <w:rPr>
          <w:b w:val="false"/>
          <w:bCs w:val="false"/>
          <w:sz w:val="22"/>
          <w:szCs w:val="22"/>
        </w:rPr>
        <w:t xml:space="preserve">Formatting-mandatories: pagination and tabbing per instructions; signature and company-seal points; number of copies; envelope/portal labelling; validity-period statements.</w:t>
      </w:r>
    </w:p>
    <w:p>
      <w:pPr>
        <w:spacing w:after="160" w:before="0" w:line="276"/>
        <w:jc w:val="both"/>
      </w:pPr>
      <w:r>
        <w:rPr>
          <w:b w:val="false"/>
          <w:bCs w:val="false"/>
          <w:i/>
          <w:iCs/>
          <w:color w:val="222222"/>
          <w:sz w:val="22"/>
          <w:szCs w:val="22"/>
        </w:rPr>
        <w:t xml:space="preserve">Each artefact carries: issuing body, typical processing lead time, validity window, renewal trigger offset, and known rejection quirks — the operational metadata that turns a checklist into telemetry.</w:t>
      </w:r>
    </w:p>
    <w:p>
      <w:pPr>
        <w:pBdr>
          <w:bottom w:val="single" w:color="1F3A5F" w:sz="8" w:space="2"/>
        </w:pBdr>
        <w:spacing w:after="220" w:before="60"/>
      </w:pPr>
    </w:p>
    <w:p>
      <w:pPr>
        <w:pStyle w:val="Heading1"/>
        <w:spacing w:after="180" w:before="320"/>
      </w:pPr>
      <w:r>
        <w:t xml:space="preserve">Appendix C — Financial Model Assumptions (v1.1 inputs)</w:t>
      </w:r>
    </w:p>
    <w:tbl>
      <w:tblPr>
        <w:tblW w:type="dxa" w:w="9360"/>
        <w:tblBorders>
          <w:top w:val="single" w:color="B7C4D6" w:sz="4"/>
          <w:left w:val="single" w:color="B7C4D6" w:sz="4"/>
          <w:bottom w:val="single" w:color="B7C4D6" w:sz="4"/>
          <w:right w:val="single" w:color="B7C4D6" w:sz="4"/>
          <w:insideH w:val="single" w:color="D9E2EF" w:sz="4"/>
          <w:insideV w:val="single" w:color="D9E2EF" w:sz="4"/>
        </w:tblBorders>
      </w:tblPr>
      <w:tblGrid>
        <w:gridCol w:w="3400"/>
        <w:gridCol w:w="2300"/>
        <w:gridCol w:w="3660"/>
      </w:tblGrid>
      <w:tr>
        <w:trPr>
          <w:tblHeader/>
        </w:trPr>
        <w:tc>
          <w:tcPr>
            <w:tcW w:type="dxa" w:w="34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Assumption</w:t>
            </w:r>
          </w:p>
        </w:tc>
        <w:tc>
          <w:tcPr>
            <w:tcW w:type="dxa" w:w="230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Value</w:t>
            </w:r>
          </w:p>
        </w:tc>
        <w:tc>
          <w:tcPr>
            <w:tcW w:type="dxa" w:w="3660"/>
            <w:shd w:fill="1F3A5F" w:val="clear"/>
            <w:tcMar>
              <w:top w:type="dxa" w:w="70"/>
              <w:left w:type="dxa" w:w="110"/>
              <w:bottom w:type="dxa" w:w="70"/>
              <w:right w:type="dxa" w:w="110"/>
            </w:tcMar>
            <w:vAlign w:val="center"/>
          </w:tcPr>
          <w:p>
            <w:pPr>
              <w:spacing w:after="0" w:line="240"/>
              <w:jc w:val="left"/>
            </w:pPr>
            <w:r>
              <w:rPr>
                <w:b/>
                <w:bCs/>
                <w:color w:val="FFFFFF"/>
                <w:sz w:val="20"/>
                <w:szCs w:val="20"/>
              </w:rPr>
              <w:t xml:space="preserve">Basis</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Planning FX</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₦1,500 / US$</w:t>
            </w:r>
          </w:p>
        </w:tc>
        <w:tc>
          <w:tcPr>
            <w:tcW w:type="dxa" w:w="36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Model input; stress ±20%</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Autopsy price (std / intro)</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₦250k / ₦150k</w:t>
            </w:r>
          </w:p>
        </w:tc>
        <w:tc>
          <w:tcPr>
            <w:tcW w:type="dxa" w:w="36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§8.1</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Assisted bid average</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₦600k</w:t>
            </w:r>
          </w:p>
        </w:tc>
        <w:tc>
          <w:tcPr>
            <w:tcW w:type="dxa" w:w="36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Range ₦400k–1.2m by complexity</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Retainer tiers (Starter / Growth / Enterprise)</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₦350k / ₦850k / ₦1.5m+ per month</w:t>
            </w:r>
          </w:p>
        </w:tc>
        <w:tc>
          <w:tcPr>
            <w:tcW w:type="dxa" w:w="36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§8.1; fair-use caps apply</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Blended retainer (model input)</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₦700k/month</w:t>
            </w:r>
          </w:p>
        </w:tc>
        <w:tc>
          <w:tcPr>
            <w:tcW w:type="dxa" w:w="36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Growth-weighted mix assumption</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Platform tier (Phase 2)</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₦150k/month</w:t>
            </w:r>
          </w:p>
        </w:tc>
        <w:tc>
          <w:tcPr>
            <w:tcW w:type="dxa" w:w="36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Vault + monitoring</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Success-based fees</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Excluded from Year 1 rate card</w:t>
            </w:r>
          </w:p>
        </w:tc>
        <w:tc>
          <w:tcPr>
            <w:tcW w:type="dxa" w:w="36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§8.1 policy; nothing in the plan depends on them</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Founder-replacement basket</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₦2.5m/month (₦24–30m/yr range)</w:t>
            </w:r>
          </w:p>
        </w:tc>
        <w:tc>
          <w:tcPr>
            <w:tcW w:type="dxa" w:w="36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§12.5; crossover at recurring MRR ≥ ₦4.5m</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Autopsy→mandate conversion</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40%</w:t>
            </w:r>
          </w:p>
        </w:tc>
        <w:tc>
          <w:tcPr>
            <w:tcW w:type="dxa" w:w="36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Gate 0 target; sensitivity §12.4</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Retainer monthly churn</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2.5% (Y1–2)</w:t>
            </w:r>
          </w:p>
        </w:tc>
        <w:tc>
          <w:tcPr>
            <w:tcW w:type="dxa" w:w="36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Kill-adjacent above 3%</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Direct model/compute per engagement</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₦15–30k</w:t>
            </w:r>
          </w:p>
        </w:tc>
        <w:tc>
          <w:tcPr>
            <w:tcW w:type="dxa" w:w="36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Current API pricing; reviewed quarterly</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Analyst capacity</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10–12 autopsies or 4–5 assisted bids /month</w:t>
            </w:r>
          </w:p>
        </w:tc>
        <w:tc>
          <w:tcPr>
            <w:tcW w:type="dxa" w:w="36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Drives hiring triggers</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Advisor QA allocation</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20% of each deliverable's effort</w:t>
            </w:r>
          </w:p>
        </w:tc>
        <w:tc>
          <w:tcPr>
            <w:tcW w:type="dxa" w:w="36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Quality regime</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Payment terms</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100% prepaid</w:t>
            </w:r>
          </w:p>
        </w:tc>
        <w:tc>
          <w:tcPr>
            <w:tcW w:type="dxa" w:w="36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§8.3</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VAT</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Priced ex-VAT; charged as law requires</w:t>
            </w:r>
          </w:p>
        </w:tc>
        <w:tc>
          <w:tcPr>
            <w:tcW w:type="dxa" w:w="36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Standard</w:t>
            </w:r>
          </w:p>
        </w:tc>
      </w:tr>
      <w:tr>
        <w:tc>
          <w:tcPr>
            <w:tcW w:type="dxa" w:w="3400"/>
            <w:shd w:fill="EDF1F7" w:val="clear"/>
            <w:tcMar>
              <w:top w:type="dxa" w:w="70"/>
              <w:left w:type="dxa" w:w="110"/>
              <w:bottom w:type="dxa" w:w="70"/>
              <w:right w:type="dxa" w:w="110"/>
            </w:tcMar>
            <w:vAlign w:val="center"/>
          </w:tcPr>
          <w:p>
            <w:pPr>
              <w:spacing w:after="0" w:line="240"/>
              <w:jc w:val="left"/>
            </w:pPr>
            <w:r>
              <w:rPr>
                <w:b/>
                <w:bCs/>
                <w:color w:val="222222"/>
                <w:sz w:val="20"/>
                <w:szCs w:val="20"/>
              </w:rPr>
              <w:t xml:space="preserve">Seasonality factor</w:t>
            </w:r>
          </w:p>
        </w:tc>
        <w:tc>
          <w:tcPr>
            <w:tcW w:type="dxa" w:w="230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Q1 federal trough, Q2–Q3 peak</w:t>
            </w:r>
          </w:p>
        </w:tc>
        <w:tc>
          <w:tcPr>
            <w:tcW w:type="dxa" w:w="3660"/>
            <w:shd w:fill="EDF1F7" w:val="clear"/>
            <w:tcMar>
              <w:top w:type="dxa" w:w="70"/>
              <w:left w:type="dxa" w:w="110"/>
              <w:bottom w:type="dxa" w:w="70"/>
              <w:right w:type="dxa" w:w="110"/>
            </w:tcMar>
            <w:vAlign w:val="center"/>
          </w:tcPr>
          <w:p>
            <w:pPr>
              <w:spacing w:after="0" w:line="240"/>
              <w:jc w:val="left"/>
            </w:pPr>
            <w:r>
              <w:rPr>
                <w:b w:val="false"/>
                <w:bCs w:val="false"/>
                <w:color w:val="222222"/>
                <w:sz w:val="20"/>
                <w:szCs w:val="20"/>
              </w:rPr>
              <w:t xml:space="preserve">Procurement calendar</w:t>
            </w:r>
          </w:p>
        </w:tc>
      </w:tr>
      <w:tr>
        <w:tc>
          <w:tcPr>
            <w:tcW w:type="dxa" w:w="3400"/>
            <w:tcMar>
              <w:top w:type="dxa" w:w="70"/>
              <w:left w:type="dxa" w:w="110"/>
              <w:bottom w:type="dxa" w:w="70"/>
              <w:right w:type="dxa" w:w="110"/>
            </w:tcMar>
            <w:vAlign w:val="center"/>
          </w:tcPr>
          <w:p>
            <w:pPr>
              <w:spacing w:after="0" w:line="240"/>
              <w:jc w:val="left"/>
            </w:pPr>
            <w:r>
              <w:rPr>
                <w:b/>
                <w:bCs/>
                <w:color w:val="222222"/>
                <w:sz w:val="20"/>
                <w:szCs w:val="20"/>
              </w:rPr>
              <w:t xml:space="preserve">GCC contribution before M24</w:t>
            </w:r>
          </w:p>
        </w:tc>
        <w:tc>
          <w:tcPr>
            <w:tcW w:type="dxa" w:w="2300"/>
            <w:tcMar>
              <w:top w:type="dxa" w:w="70"/>
              <w:left w:type="dxa" w:w="110"/>
              <w:bottom w:type="dxa" w:w="70"/>
              <w:right w:type="dxa" w:w="110"/>
            </w:tcMar>
            <w:vAlign w:val="center"/>
          </w:tcPr>
          <w:p>
            <w:pPr>
              <w:spacing w:after="0" w:line="240"/>
              <w:jc w:val="left"/>
            </w:pPr>
            <w:r>
              <w:rPr>
                <w:b w:val="false"/>
                <w:bCs w:val="false"/>
                <w:color w:val="222222"/>
                <w:sz w:val="20"/>
                <w:szCs w:val="20"/>
              </w:rPr>
              <w:t xml:space="preserve">Zero</w:t>
            </w:r>
          </w:p>
        </w:tc>
        <w:tc>
          <w:tcPr>
            <w:tcW w:type="dxa" w:w="3660"/>
            <w:tcMar>
              <w:top w:type="dxa" w:w="70"/>
              <w:left w:type="dxa" w:w="110"/>
              <w:bottom w:type="dxa" w:w="70"/>
              <w:right w:type="dxa" w:w="110"/>
            </w:tcMar>
            <w:vAlign w:val="center"/>
          </w:tcPr>
          <w:p>
            <w:pPr>
              <w:spacing w:after="0" w:line="240"/>
              <w:jc w:val="left"/>
            </w:pPr>
            <w:r>
              <w:rPr>
                <w:b w:val="false"/>
                <w:bCs w:val="false"/>
                <w:color w:val="222222"/>
                <w:sz w:val="20"/>
                <w:szCs w:val="20"/>
              </w:rPr>
              <w:t xml:space="preserve">Discipline rule §16</w:t>
            </w:r>
          </w:p>
        </w:tc>
      </w:tr>
    </w:tbl>
    <w:p>
      <w:pPr>
        <w:pBdr>
          <w:bottom w:val="single" w:color="1F3A5F" w:sz="8" w:space="2"/>
        </w:pBdr>
        <w:spacing w:after="220" w:before="60"/>
      </w:pPr>
    </w:p>
    <w:p>
      <w:pPr>
        <w:pStyle w:val="Heading1"/>
        <w:spacing w:after="180" w:before="320"/>
      </w:pPr>
      <w:r>
        <w:t xml:space="preserve">Appendix D — Sources &amp; Verification Notes</w:t>
      </w:r>
    </w:p>
    <w:p>
      <w:pPr>
        <w:spacing w:after="160" w:before="0" w:line="276"/>
        <w:jc w:val="both"/>
      </w:pPr>
      <w:r>
        <w:rPr>
          <w:b w:val="false"/>
          <w:bCs w:val="false"/>
          <w:i w:val="false"/>
          <w:iCs w:val="false"/>
          <w:color w:val="222222"/>
          <w:sz w:val="22"/>
          <w:szCs w:val="22"/>
        </w:rPr>
        <w:t xml:space="preserve">Market facts in this plan were verified against public sources in July 2026 and are to be re-verified during Gate 0 interviews. Principal references:</w:t>
      </w:r>
    </w:p>
    <w:p>
      <w:pPr>
        <w:pStyle w:val="ListParagraph"/>
        <w:numPr>
          <w:ilvl w:val="0"/>
          <w:numId w:val="2"/>
        </w:numPr>
        <w:spacing w:after="100" w:line="264"/>
      </w:pPr>
      <w:r>
        <w:rPr>
          <w:b w:val="false"/>
          <w:bCs w:val="false"/>
          <w:sz w:val="22"/>
          <w:szCs w:val="22"/>
        </w:rPr>
        <w:t xml:space="preserve">Nigerian procurement structure, 2026 budget scale (₦68tn+), 700+ MDAs, NOCOPO's disclosure-only nature, NipeX/NCDMB framework and local-content trajectory (≈56% by 2024; 70% target 2027): Jorpex market guide (April 2026); BPP/NOCOPO official portals; Open Contracting Data Registry.</w:t>
      </w:r>
    </w:p>
    <w:p>
      <w:pPr>
        <w:pStyle w:val="ListParagraph"/>
        <w:numPr>
          <w:ilvl w:val="0"/>
          <w:numId w:val="2"/>
        </w:numPr>
        <w:spacing w:after="100" w:line="264"/>
      </w:pPr>
      <w:r>
        <w:rPr>
          <w:b w:val="false"/>
          <w:bCs w:val="false"/>
          <w:sz w:val="22"/>
          <w:szCs w:val="22"/>
        </w:rPr>
        <w:t xml:space="preserve">Revised public procurement approval thresholds (approved May 2025, immediate effect): FEC-level BPP Certificate of No Objection at ₦5bn+ (goods and consultancy) and ₦10bn+ (works); ministerial-level No Objection at ₦1bn–&lt;₦5bn (goods/services) and ₦5bn–&lt;₦10bn (works); prequalification at ₦500m+ (goods/non-consultant services) and ₦1bn+ (works); BPP repositioned toward post-review, audit, surveillance and debarment; revised Standard Bidding Documents mandatory from the 2025 budget onward: Federal Ministry of Information / BPP announcement (fmino.gov.ng, May 2025). Supersedes the ₦100m No Objection figure carried in v1.0 from a third-party aggregator (SellToState); corrected in v1.1 following external review. CCSP registration requirements: BPP portals.</w:t>
      </w:r>
    </w:p>
    <w:p>
      <w:pPr>
        <w:pStyle w:val="ListParagraph"/>
        <w:numPr>
          <w:ilvl w:val="0"/>
          <w:numId w:val="2"/>
        </w:numPr>
        <w:spacing w:after="100" w:line="264"/>
      </w:pPr>
      <w:r>
        <w:rPr>
          <w:b w:val="false"/>
          <w:bCs w:val="false"/>
          <w:sz w:val="22"/>
          <w:szCs w:val="22"/>
        </w:rPr>
        <w:t xml:space="preserve">Compliance certificate stack (Tax Clearance, Group Life, NSITF, ITF, PENCOM, audited accounts, BPP): Etenders service documentation.</w:t>
      </w:r>
    </w:p>
    <w:p>
      <w:pPr>
        <w:pStyle w:val="ListParagraph"/>
        <w:numPr>
          <w:ilvl w:val="0"/>
          <w:numId w:val="2"/>
        </w:numPr>
        <w:spacing w:after="100" w:line="264"/>
      </w:pPr>
      <w:r>
        <w:rPr>
          <w:b w:val="false"/>
          <w:bCs w:val="false"/>
          <w:sz w:val="22"/>
          <w:szCs w:val="22"/>
        </w:rPr>
        <w:t xml:space="preserve">Category proof — 17+ AI proposal platforms, US$49–2,000+/mo pricing, adoption 42%→68% (APMP 2024 benchmarking): Bidara comparison study (April 2026).</w:t>
      </w:r>
    </w:p>
    <w:p>
      <w:pPr>
        <w:pStyle w:val="ListParagraph"/>
        <w:numPr>
          <w:ilvl w:val="0"/>
          <w:numId w:val="2"/>
        </w:numPr>
        <w:spacing w:after="100" w:line="264"/>
      </w:pPr>
      <w:r>
        <w:rPr>
          <w:b w:val="false"/>
          <w:bCs w:val="false"/>
          <w:sz w:val="22"/>
          <w:szCs w:val="22"/>
        </w:rPr>
        <w:t xml:space="preserve">Win-rate evidence — MH&amp;A independent study of 511 proposal professionals (19.5-point gap; 22% higher win rates), US$2.5bn construction case (US$25m added revenue), ~25-hour requirement-extraction baseline: AutogenAI published research and case studies (2025–26).</w:t>
      </w:r>
    </w:p>
    <w:p>
      <w:pPr>
        <w:pStyle w:val="ListParagraph"/>
        <w:numPr>
          <w:ilvl w:val="0"/>
          <w:numId w:val="2"/>
        </w:numPr>
        <w:spacing w:after="100" w:line="264"/>
      </w:pPr>
      <w:r>
        <w:rPr>
          <w:b w:val="false"/>
          <w:bCs w:val="false"/>
          <w:sz w:val="22"/>
          <w:szCs w:val="22"/>
        </w:rPr>
        <w:t xml:space="preserve">Grounded-generation architecture reference (outputs tied to verified records, compliance matrices in-workflow): GovDash public materials (2026).</w:t>
      </w:r>
    </w:p>
    <w:p>
      <w:pPr>
        <w:spacing w:after="160" w:before="0" w:line="276"/>
        <w:jc w:val="both"/>
      </w:pPr>
      <w:r>
        <w:rPr>
          <w:b w:val="false"/>
          <w:bCs w:val="false"/>
          <w:i/>
          <w:iCs/>
          <w:color w:val="222222"/>
          <w:sz w:val="22"/>
          <w:szCs w:val="22"/>
        </w:rPr>
        <w:t xml:space="preserve">Founder estimates flagged as such in-text (notably §6.2 sizing and all probabilities) are Valo's own and carry no external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Valo · July 2026 ·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F" w:sz="4" w:space="2"/>
      </w:pBdr>
      <w:spacing w:after="60"/>
      <w:jc w:val="right"/>
    </w:pPr>
    <w:r>
      <w:rPr>
        <w:color w:val="777777"/>
        <w:sz w:val="16"/>
        <w:szCs w:val="16"/>
      </w:rPr>
      <w:t xml:space="preserve">VALO — Business Plan v1.1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44546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 — Business Plan v1.1</dc:title>
  <dc:creator>Obeid Peter-Azeez</dc:creator>
  <dc:description>AI bid production and disqualification defense for Nigerian tender markets</dc:description>
  <cp:lastModifiedBy>Un-named</cp:lastModifiedBy>
  <cp:revision>1</cp:revision>
  <dcterms:created xsi:type="dcterms:W3CDTF">2026-07-04T23:31:52.854Z</dcterms:created>
  <dcterms:modified xsi:type="dcterms:W3CDTF">2026-07-04T23:31:52.868Z</dcterms:modified>
</cp:coreProperties>
</file>

<file path=docProps/custom.xml><?xml version="1.0" encoding="utf-8"?>
<Properties xmlns="http://schemas.openxmlformats.org/officeDocument/2006/custom-properties" xmlns:vt="http://schemas.openxmlformats.org/officeDocument/2006/docPropsVTypes"/>
</file>