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b/>
          <w:bCs/>
          <w:color w:val="1F3A5F"/>
          <w:sz w:val="96"/>
          <w:szCs w:val="96"/>
        </w:rPr>
        <w:t xml:space="preserve">VALO</w:t>
      </w:r>
    </w:p>
    <w:p>
      <w:pPr>
        <w:spacing w:after="90"/>
        <w:jc w:val="center"/>
      </w:pPr>
      <w:r>
        <w:rPr>
          <w:color w:val="44546A"/>
          <w:sz w:val="40"/>
          <w:szCs w:val="40"/>
        </w:rPr>
        <w:t xml:space="preserve">Product Roadmap</w:t>
      </w:r>
    </w:p>
    <w:p>
      <w:pPr>
        <w:spacing w:after="700"/>
        <w:jc w:val="center"/>
      </w:pPr>
      <w:r>
        <w:rPr>
          <w:i/>
          <w:iCs/>
          <w:color w:val="44546A"/>
          <w:sz w:val="24"/>
          <w:szCs w:val="24"/>
        </w:rPr>
        <w:t xml:space="preserve">From Bid Autopsy to Platform to GCC Edition — the build sequence behind the plan</w:t>
      </w:r>
    </w:p>
    <w:p>
      <w:pPr>
        <w:spacing w:after="60"/>
        <w:jc w:val="center"/>
      </w:pPr>
      <w:r>
        <w:rPr>
          <w:color w:val="444444"/>
          <w:sz w:val="22"/>
          <w:szCs w:val="22"/>
        </w:rPr>
        <w:t xml:space="preserve">Version 1.0  ·  5 July 2026</w:t>
      </w:r>
    </w:p>
    <w:p>
      <w:pPr>
        <w:spacing w:after="60"/>
        <w:jc w:val="center"/>
      </w:pPr>
      <w:r>
        <w:rPr>
          <w:color w:val="444444"/>
          <w:sz w:val="22"/>
          <w:szCs w:val="22"/>
        </w:rPr>
        <w:t xml:space="preserve">Aligned to: Valo Business Plan v1.1</w:t>
      </w:r>
    </w:p>
    <w:p>
      <w:pPr>
        <w:spacing w:after="1500"/>
        <w:jc w:val="center"/>
      </w:pPr>
      <w:r>
        <w:rPr>
          <w:color w:val="444444"/>
          <w:sz w:val="22"/>
          <w:szCs w:val="22"/>
        </w:rPr>
        <w:t xml:space="preserve">Prepared by: Obeid Peter-Azeez (Founder)  ·  Abuja / Doha</w:t>
      </w:r>
    </w:p>
    <w:p>
      <w:pPr>
        <w:jc w:val="center"/>
      </w:pPr>
      <w:r>
        <w:rPr>
          <w:b/>
          <w:bCs/>
          <w:color w:val="8A1C1C"/>
          <w:sz w:val="20"/>
          <w:szCs w:val="20"/>
        </w:rPr>
        <w:t xml:space="preserve">CONFIDENTIAL — DRAFT FOR FOUNDER REVIEW</w:t>
      </w:r>
    </w:p>
    <w:p>
      <w:r>
        <w:br w:type="page"/>
      </w:r>
    </w:p>
    <w:p>
      <w:pPr>
        <w:sectPr>
          <w:pgSz w:w="11906" w:h="16838" w:orient="portrait"/>
          <w:pgMar w:top="1440" w:right="1440" w:bottom="1440" w:left="1440" w:header="708" w:footer="708" w:gutter="0"/>
          <w:pgNumType/>
          <w:docGrid w:linePitch="360"/>
        </w:sectPr>
      </w:pPr>
    </w:p>
    <w:p>
      <w:pPr>
        <w:pStyle w:val="Heading1"/>
        <w:spacing w:after="180" w:before="320"/>
      </w:pPr>
      <w:r>
        <w:t xml:space="preserve">Document Control</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600"/>
        <w:gridCol w:w="6760"/>
      </w:tblGrid>
      <w:tr>
        <w:trPr>
          <w:tblHeader/>
        </w:trPr>
        <w:tc>
          <w:tcPr>
            <w:tcW w:type="dxa" w:w="26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Field</w:t>
            </w:r>
          </w:p>
        </w:tc>
        <w:tc>
          <w:tcPr>
            <w:tcW w:type="dxa" w:w="67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Value</w:t>
            </w:r>
          </w:p>
        </w:tc>
      </w:tr>
      <w:tr>
        <w:tc>
          <w:tcPr>
            <w:tcW w:type="dxa" w:w="2600"/>
            <w:tcMar>
              <w:top w:type="dxa" w:w="70"/>
              <w:left w:type="dxa" w:w="110"/>
              <w:bottom w:type="dxa" w:w="70"/>
              <w:right w:type="dxa" w:w="110"/>
            </w:tcMar>
            <w:vAlign w:val="center"/>
          </w:tcPr>
          <w:p>
            <w:pPr>
              <w:spacing w:after="0" w:line="240"/>
              <w:jc w:val="left"/>
            </w:pPr>
            <w:r>
              <w:rPr>
                <w:b/>
                <w:bCs/>
                <w:color w:val="222222"/>
                <w:sz w:val="20"/>
                <w:szCs w:val="20"/>
              </w:rPr>
              <w:t xml:space="preserve">Document</w:t>
            </w:r>
          </w:p>
        </w:tc>
        <w:tc>
          <w:tcPr>
            <w:tcW w:type="dxa" w:w="6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Valo — Product Roadmap</w:t>
            </w:r>
          </w:p>
        </w:tc>
      </w:tr>
      <w:tr>
        <w:tc>
          <w:tcPr>
            <w:tcW w:type="dxa" w:w="26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Version</w:t>
            </w:r>
          </w:p>
        </w:tc>
        <w:tc>
          <w:tcPr>
            <w:tcW w:type="dxa" w:w="67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v1.0</w:t>
            </w:r>
          </w:p>
        </w:tc>
      </w:tr>
      <w:tr>
        <w:tc>
          <w:tcPr>
            <w:tcW w:type="dxa" w:w="2600"/>
            <w:tcMar>
              <w:top w:type="dxa" w:w="70"/>
              <w:left w:type="dxa" w:w="110"/>
              <w:bottom w:type="dxa" w:w="70"/>
              <w:right w:type="dxa" w:w="110"/>
            </w:tcMar>
            <w:vAlign w:val="center"/>
          </w:tcPr>
          <w:p>
            <w:pPr>
              <w:spacing w:after="0" w:line="240"/>
              <w:jc w:val="left"/>
            </w:pPr>
            <w:r>
              <w:rPr>
                <w:b/>
                <w:bCs/>
                <w:color w:val="222222"/>
                <w:sz w:val="20"/>
                <w:szCs w:val="20"/>
              </w:rPr>
              <w:t xml:space="preserve">Status</w:t>
            </w:r>
          </w:p>
        </w:tc>
        <w:tc>
          <w:tcPr>
            <w:tcW w:type="dxa" w:w="6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Draft for founder review — pre-Gate 0</w:t>
            </w:r>
          </w:p>
        </w:tc>
      </w:tr>
      <w:tr>
        <w:tc>
          <w:tcPr>
            <w:tcW w:type="dxa" w:w="26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Date</w:t>
            </w:r>
          </w:p>
        </w:tc>
        <w:tc>
          <w:tcPr>
            <w:tcW w:type="dxa" w:w="67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5 July 2026</w:t>
            </w:r>
          </w:p>
        </w:tc>
      </w:tr>
      <w:tr>
        <w:tc>
          <w:tcPr>
            <w:tcW w:type="dxa" w:w="2600"/>
            <w:tcMar>
              <w:top w:type="dxa" w:w="70"/>
              <w:left w:type="dxa" w:w="110"/>
              <w:bottom w:type="dxa" w:w="70"/>
              <w:right w:type="dxa" w:w="110"/>
            </w:tcMar>
            <w:vAlign w:val="center"/>
          </w:tcPr>
          <w:p>
            <w:pPr>
              <w:spacing w:after="0" w:line="240"/>
              <w:jc w:val="left"/>
            </w:pPr>
            <w:r>
              <w:rPr>
                <w:b/>
                <w:bCs/>
                <w:color w:val="222222"/>
                <w:sz w:val="20"/>
                <w:szCs w:val="20"/>
              </w:rPr>
              <w:t xml:space="preserve">Author</w:t>
            </w:r>
          </w:p>
        </w:tc>
        <w:tc>
          <w:tcPr>
            <w:tcW w:type="dxa" w:w="6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Obeid Peter-Azeez</w:t>
            </w:r>
          </w:p>
        </w:tc>
      </w:tr>
      <w:tr>
        <w:tc>
          <w:tcPr>
            <w:tcW w:type="dxa" w:w="26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Alignment</w:t>
            </w:r>
          </w:p>
        </w:tc>
        <w:tc>
          <w:tcPr>
            <w:tcW w:type="dxa" w:w="67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Companion to Business Plan v1.1 (5 July 2026); commercial gates in BP §10 and §15 govern this roadmap</w:t>
            </w:r>
          </w:p>
        </w:tc>
      </w:tr>
      <w:tr>
        <w:tc>
          <w:tcPr>
            <w:tcW w:type="dxa" w:w="2600"/>
            <w:tcMar>
              <w:top w:type="dxa" w:w="70"/>
              <w:left w:type="dxa" w:w="110"/>
              <w:bottom w:type="dxa" w:w="70"/>
              <w:right w:type="dxa" w:w="110"/>
            </w:tcMar>
            <w:vAlign w:val="center"/>
          </w:tcPr>
          <w:p>
            <w:pPr>
              <w:spacing w:after="0" w:line="240"/>
              <w:jc w:val="left"/>
            </w:pPr>
            <w:r>
              <w:rPr>
                <w:b/>
                <w:bCs/>
                <w:color w:val="222222"/>
                <w:sz w:val="20"/>
                <w:szCs w:val="20"/>
              </w:rPr>
              <w:t xml:space="preserve">Calendar convention</w:t>
            </w:r>
          </w:p>
        </w:tc>
        <w:tc>
          <w:tcPr>
            <w:tcW w:type="dxa" w:w="6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M1 = August 2026; releases dated by month index and calendar quarter</w:t>
            </w:r>
          </w:p>
        </w:tc>
      </w:tr>
      <w:tr>
        <w:tc>
          <w:tcPr>
            <w:tcW w:type="dxa" w:w="26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Change control</w:t>
            </w:r>
          </w:p>
        </w:tc>
        <w:tc>
          <w:tcPr>
            <w:tcW w:type="dxa" w:w="67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Roadmap changes only at the monthly founder memo or quarterly gate review; every scope addition must name what it displaces</w:t>
            </w:r>
          </w:p>
        </w:tc>
      </w:tr>
    </w:tbl>
    <w:p>
      <w:r>
        <w:br w:type="page"/>
      </w:r>
    </w:p>
    <w:p>
      <w:pPr>
        <w:pStyle w:val="Heading1"/>
        <w:spacing w:after="18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60" w:before="0" w:line="276"/>
        <w:jc w:val="both"/>
      </w:pPr>
      <w:r>
        <w:rPr>
          <w:b w:val="false"/>
          <w:bCs w:val="false"/>
          <w:i w:val="false"/>
          <w:iCs w:val="false"/>
          <w:color w:val="222222"/>
          <w:sz w:val="22"/>
          <w:szCs w:val="22"/>
        </w:rPr>
        <w:t xml:space="preserve"> </w:t>
      </w:r>
    </w:p>
    <w:p>
      <w:pPr>
        <w:spacing w:after="160" w:before="0" w:line="276"/>
        <w:jc w:val="both"/>
      </w:pPr>
      <w:r>
        <w:rPr>
          <w:b w:val="false"/>
          <w:bCs w:val="false"/>
          <w:i/>
          <w:iCs/>
          <w:color w:val="666666"/>
          <w:sz w:val="18"/>
          <w:szCs w:val="18"/>
        </w:rPr>
        <w:t xml:space="preserve">Note: refresh fields in Word (Ctrl+A, F9) to populate page numbers.</w:t>
      </w:r>
    </w:p>
    <w:p>
      <w:r>
        <w:br w:type="page"/>
      </w:r>
    </w:p>
    <w:p>
      <w:pPr>
        <w:pStyle w:val="Heading1"/>
        <w:spacing w:after="180" w:before="320"/>
      </w:pPr>
      <w:r>
        <w:t xml:space="preserve">1. Purpose &amp; How to Read This Roadmap</w:t>
      </w:r>
    </w:p>
    <w:p>
      <w:pPr>
        <w:spacing w:after="160" w:before="0" w:line="276"/>
        <w:jc w:val="both"/>
      </w:pPr>
      <w:r>
        <w:rPr>
          <w:b w:val="false"/>
          <w:bCs w:val="false"/>
          <w:i w:val="false"/>
          <w:iCs w:val="false"/>
          <w:color w:val="222222"/>
          <w:sz w:val="22"/>
          <w:szCs w:val="22"/>
        </w:rPr>
        <w:t xml:space="preserve">This roadmap sequences what gets built, when, to what standard, and under whose hours — for the venture defined in Business Plan v1.1. It is deliberately subordinate to the commercial gates: no release below unlocks unless the corresponding gate in BP §10 and §15 has passed, and any kill condition halts the build regardless of engineering momentum. Product ambition is the cheapest thing to manufacture and the most expensive thing to indulge; this document exists to ration it.</w:t>
      </w:r>
    </w:p>
    <w:p>
      <w:pPr>
        <w:spacing w:after="160" w:before="0" w:line="276"/>
        <w:jc w:val="both"/>
      </w:pPr>
      <w:r>
        <w:rPr>
          <w:b w:val="false"/>
          <w:bCs w:val="false"/>
          <w:i w:val="false"/>
          <w:iCs w:val="false"/>
          <w:color w:val="222222"/>
          <w:sz w:val="22"/>
          <w:szCs w:val="22"/>
        </w:rPr>
        <w:t xml:space="preserve">Three reading rules. First, every release has a Definition of Done that includes commercial evidence, not just working software. Second, founder hours are a budgeted resource with tripwires, because the founder's attention — not capital — is the scarce input. Third, the platform is a consequence of the service, never a substitute for it: Valo earns the right to build software by delivering engagements manually first and encoding what repeated delivery proves.</w:t>
      </w:r>
    </w:p>
    <w:p>
      <w:pPr>
        <w:pStyle w:val="Heading2"/>
        <w:spacing w:after="140" w:before="240"/>
      </w:pPr>
      <w:r>
        <w:t xml:space="preserve">1.1 Product thesis in one paragraph</w:t>
      </w:r>
    </w:p>
    <w:p>
      <w:pPr>
        <w:spacing w:after="160" w:before="0" w:line="276"/>
        <w:jc w:val="both"/>
      </w:pPr>
      <w:r>
        <w:rPr>
          <w:b w:val="false"/>
          <w:bCs w:val="false"/>
          <w:i w:val="false"/>
          <w:iCs w:val="false"/>
          <w:color w:val="222222"/>
          <w:sz w:val="22"/>
          <w:szCs w:val="22"/>
        </w:rPr>
        <w:t xml:space="preserve">Valo's engine converts any Nigerian tender into a verified compliance state machine, holds the client's compliance artefacts as living telemetry rather than dead files, drafts responsive content only from evidenced capability, verifies deterministically everything that must be exactly right, and assembles submission-ready packages to specification — with a named human sign-off on every deliverable. The May 2025 circular's mandate that all procurements use the BPP's revised Standard Bidding Documents hands Valo a canonical, government-issued template corpus to build against; the roadmap treats that corpus as a first-class product asset.</w:t>
      </w:r>
    </w:p>
    <w:p>
      <w:pPr>
        <w:pBdr>
          <w:bottom w:val="single" w:color="1F3A5F" w:sz="8" w:space="2"/>
        </w:pBdr>
        <w:spacing w:after="220" w:before="60"/>
      </w:pPr>
    </w:p>
    <w:p>
      <w:pPr>
        <w:pStyle w:val="Heading1"/>
        <w:spacing w:after="180" w:before="320"/>
      </w:pPr>
      <w:r>
        <w:t xml:space="preserve">2. Design Doctrine (Non-Negotiables)</w:t>
      </w:r>
    </w:p>
    <w:p>
      <w:pPr>
        <w:pStyle w:val="ListParagraph"/>
        <w:numPr>
          <w:ilvl w:val="0"/>
          <w:numId w:val="2"/>
        </w:numPr>
        <w:spacing w:after="100" w:line="264"/>
      </w:pPr>
      <w:r>
        <w:rPr>
          <w:sz w:val="22"/>
          <w:szCs w:val="22"/>
        </w:rPr>
        <w:t xml:space="preserve">Deterministic core, LLM shell: checklist state, expiry dates, arithmetic, assembly and audit trails are conventional, tested software; language models handle extraction, drafting, summarisation and red-teaming, and their output is either verified by the deterministic layer or reviewed by a named human before it can touch a deliverable.</w:t>
      </w:r>
    </w:p>
    <w:p>
      <w:pPr>
        <w:pStyle w:val="ListParagraph"/>
        <w:numPr>
          <w:ilvl w:val="0"/>
          <w:numId w:val="2"/>
        </w:numPr>
        <w:spacing w:after="100" w:line="264"/>
      </w:pPr>
      <w:r>
        <w:rPr>
          <w:sz w:val="22"/>
          <w:szCs w:val="22"/>
        </w:rPr>
        <w:t xml:space="preserve">Human sign-off is a feature, not a phase: through at least Phase 1, no client-visible artefact ships without a named reviewer. Automation graduates task by task only when its measured error rate beats the human baseline on the eval harness.</w:t>
      </w:r>
    </w:p>
    <w:p>
      <w:pPr>
        <w:pStyle w:val="ListParagraph"/>
        <w:numPr>
          <w:ilvl w:val="0"/>
          <w:numId w:val="2"/>
        </w:numPr>
        <w:spacing w:after="100" w:line="264"/>
      </w:pPr>
      <w:r>
        <w:rPr>
          <w:sz w:val="22"/>
          <w:szCs w:val="22"/>
        </w:rPr>
        <w:t xml:space="preserve">Evidence-linked generation: the Drafting Engine cannot insert a claim that lacks an evidence link in the Capability Library. This anti-fabrication control is architectural — it is how the integrity red lines (BP §14) are enforced in code.</w:t>
      </w:r>
    </w:p>
    <w:p>
      <w:pPr>
        <w:pStyle w:val="ListParagraph"/>
        <w:numPr>
          <w:ilvl w:val="0"/>
          <w:numId w:val="2"/>
        </w:numPr>
        <w:spacing w:after="100" w:line="264"/>
      </w:pPr>
      <w:r>
        <w:rPr>
          <w:sz w:val="22"/>
          <w:szCs w:val="22"/>
        </w:rPr>
        <w:t xml:space="preserve">Service encodes into software: every manual engagement produces reusable assets — templates, checklists, defect taxonomy entries, eval cases. A release is not done until the assets it was supposed to harvest are in the corpus.</w:t>
      </w:r>
    </w:p>
    <w:p>
      <w:pPr>
        <w:pStyle w:val="ListParagraph"/>
        <w:numPr>
          <w:ilvl w:val="0"/>
          <w:numId w:val="2"/>
        </w:numPr>
        <w:spacing w:after="100" w:line="264"/>
      </w:pPr>
      <w:r>
        <w:rPr>
          <w:sz w:val="22"/>
          <w:szCs w:val="22"/>
        </w:rPr>
        <w:t xml:space="preserve">Buy the undifferentiated: discovery feeds, OCR baseline, model APIs and CRM are purchased; Valo builds only where the moat lives — the compliance state machine, the Vault, the Nigerian/GCC template corpus, the assembly pipeline, and the defect dataset.</w:t>
      </w:r>
    </w:p>
    <w:p>
      <w:pPr>
        <w:pStyle w:val="ListParagraph"/>
        <w:numPr>
          <w:ilvl w:val="0"/>
          <w:numId w:val="2"/>
        </w:numPr>
        <w:spacing w:after="100" w:line="264"/>
      </w:pPr>
      <w:r>
        <w:rPr>
          <w:sz w:val="22"/>
          <w:szCs w:val="22"/>
        </w:rPr>
        <w:t xml:space="preserve">Per-client isolation from day one: tenancy separation, encryption at rest, audit logging and NDPA-aligned handling ship in v0.1, not as a Phase 2 retrofit.</w:t>
      </w:r>
    </w:p>
    <w:p>
      <w:pPr>
        <w:pBdr>
          <w:bottom w:val="single" w:color="1F3A5F" w:sz="8" w:space="2"/>
        </w:pBdr>
        <w:spacing w:after="220" w:before="60"/>
      </w:pPr>
    </w:p>
    <w:p>
      <w:pPr>
        <w:pStyle w:val="Heading1"/>
        <w:spacing w:after="180" w:before="320"/>
      </w:pPr>
      <w:r>
        <w:t xml:space="preserve">3. Release Map at a Glance</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400"/>
        <w:gridCol w:w="2100"/>
        <w:gridCol w:w="2560"/>
        <w:gridCol w:w="2300"/>
      </w:tblGrid>
      <w:tr>
        <w:trPr>
          <w:tblHeader/>
        </w:trPr>
        <w:tc>
          <w:tcPr>
            <w:tcW w:type="dxa" w:w="2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Release</w:t>
            </w:r>
          </w:p>
        </w:tc>
        <w:tc>
          <w:tcPr>
            <w:tcW w:type="dxa" w:w="21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Months (calendar)</w:t>
            </w:r>
          </w:p>
        </w:tc>
        <w:tc>
          <w:tcPr>
            <w:tcW w:type="dxa" w:w="25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Theme</w:t>
            </w:r>
          </w:p>
        </w:tc>
        <w:tc>
          <w:tcPr>
            <w:tcW w:type="dxa" w:w="23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Commercial gate it serves</w:t>
            </w:r>
          </w:p>
        </w:tc>
      </w:tr>
      <w:tr>
        <w:tc>
          <w:tcPr>
            <w:tcW w:type="dxa" w:w="2400"/>
            <w:tcMar>
              <w:top w:type="dxa" w:w="70"/>
              <w:left w:type="dxa" w:w="110"/>
              <w:bottom w:type="dxa" w:w="70"/>
              <w:right w:type="dxa" w:w="110"/>
            </w:tcMar>
            <w:vAlign w:val="center"/>
          </w:tcPr>
          <w:p>
            <w:pPr>
              <w:spacing w:after="0" w:line="240"/>
              <w:jc w:val="left"/>
            </w:pPr>
            <w:r>
              <w:rPr>
                <w:b/>
                <w:bCs/>
                <w:color w:val="222222"/>
                <w:sz w:val="20"/>
                <w:szCs w:val="20"/>
              </w:rPr>
              <w:t xml:space="preserve">v0.1 — Autopsy Pipeline</w:t>
            </w:r>
          </w:p>
        </w:tc>
        <w:tc>
          <w:tcPr>
            <w:tcW w:type="dxa" w:w="21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M1–2 (Aug–Sep 2026)</w:t>
            </w:r>
          </w:p>
        </w:tc>
        <w:tc>
          <w:tcPr>
            <w:tcW w:type="dxa" w:w="2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Prove defects are findable and sellable</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Gate 0 (BP §10): seven conditions; build tripwire ≤ 4 weeks</w:t>
            </w:r>
          </w:p>
        </w:tc>
      </w:tr>
      <w:tr>
        <w:tc>
          <w:tcPr>
            <w:tcW w:type="dxa" w:w="2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v0.5 — Vault &amp; Verifier</w:t>
            </w:r>
          </w:p>
        </w:tc>
        <w:tc>
          <w:tcPr>
            <w:tcW w:type="dxa" w:w="21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M3–5 (Oct–Dec 2026)</w:t>
            </w:r>
          </w:p>
        </w:tc>
        <w:tc>
          <w:tcPr>
            <w:tcW w:type="dxa" w:w="2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Turn one-off autopsies into a living compliance system</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Phase 1 entry; first retainers onboarded onto Vault</w:t>
            </w:r>
          </w:p>
        </w:tc>
      </w:tr>
      <w:tr>
        <w:tc>
          <w:tcPr>
            <w:tcW w:type="dxa" w:w="2400"/>
            <w:tcMar>
              <w:top w:type="dxa" w:w="70"/>
              <w:left w:type="dxa" w:w="110"/>
              <w:bottom w:type="dxa" w:w="70"/>
              <w:right w:type="dxa" w:w="110"/>
            </w:tcMar>
            <w:vAlign w:val="center"/>
          </w:tcPr>
          <w:p>
            <w:pPr>
              <w:spacing w:after="0" w:line="240"/>
              <w:jc w:val="left"/>
            </w:pPr>
            <w:r>
              <w:rPr>
                <w:b/>
                <w:bCs/>
                <w:color w:val="222222"/>
                <w:sz w:val="20"/>
                <w:szCs w:val="20"/>
              </w:rPr>
              <w:t xml:space="preserve">v1.0 — Full Service Engine</w:t>
            </w:r>
          </w:p>
        </w:tc>
        <w:tc>
          <w:tcPr>
            <w:tcW w:type="dxa" w:w="21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M6–8 (Jan–Mar 2027)</w:t>
            </w:r>
          </w:p>
        </w:tc>
        <w:tc>
          <w:tcPr>
            <w:tcW w:type="dxa" w:w="2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Assisted bids and Prequalification Packs at SLA, repeatably</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Phase 1 exit: ≥ 4 retainers, ≥ 40% autopsy→mandate conversion</w:t>
            </w:r>
          </w:p>
        </w:tc>
      </w:tr>
      <w:tr>
        <w:tc>
          <w:tcPr>
            <w:tcW w:type="dxa" w:w="2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v1.5 — Portal Alpha</w:t>
            </w:r>
          </w:p>
        </w:tc>
        <w:tc>
          <w:tcPr>
            <w:tcW w:type="dxa" w:w="21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M9–11 (Apr–Jun 2027)</w:t>
            </w:r>
          </w:p>
        </w:tc>
        <w:tc>
          <w:tcPr>
            <w:tcW w:type="dxa" w:w="2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Clients see their own vault, deadlines and engagement status</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Phase 2 entry; retention and referral engine</w:t>
            </w:r>
          </w:p>
        </w:tc>
      </w:tr>
      <w:tr>
        <w:tc>
          <w:tcPr>
            <w:tcW w:type="dxa" w:w="2400"/>
            <w:tcMar>
              <w:top w:type="dxa" w:w="70"/>
              <w:left w:type="dxa" w:w="110"/>
              <w:bottom w:type="dxa" w:w="70"/>
              <w:right w:type="dxa" w:w="110"/>
            </w:tcMar>
            <w:vAlign w:val="center"/>
          </w:tcPr>
          <w:p>
            <w:pPr>
              <w:spacing w:after="0" w:line="240"/>
              <w:jc w:val="left"/>
            </w:pPr>
            <w:r>
              <w:rPr>
                <w:b/>
                <w:bCs/>
                <w:color w:val="222222"/>
                <w:sz w:val="20"/>
                <w:szCs w:val="20"/>
              </w:rPr>
              <w:t xml:space="preserve">v2.0 — Platform GA (self-serve Starter)</w:t>
            </w:r>
          </w:p>
        </w:tc>
        <w:tc>
          <w:tcPr>
            <w:tcW w:type="dxa" w:w="21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M12–14 (Jul–Sep 2027)</w:t>
            </w:r>
          </w:p>
        </w:tc>
        <w:tc>
          <w:tcPr>
            <w:tcW w:type="dxa" w:w="2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Software revenue line opens; recurring MRR toward crossover</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Replacement-Cost Crossover (recurring MRR ≥ ₦4.5m, ~M14–16)</w:t>
            </w:r>
          </w:p>
        </w:tc>
      </w:tr>
      <w:tr>
        <w:tc>
          <w:tcPr>
            <w:tcW w:type="dxa" w:w="2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v2.5 — Channel &amp; Data Edition</w:t>
            </w:r>
          </w:p>
        </w:tc>
        <w:tc>
          <w:tcPr>
            <w:tcW w:type="dxa" w:w="21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M15–18 (Oct 2027–Jan 2028)</w:t>
            </w:r>
          </w:p>
        </w:tc>
        <w:tc>
          <w:tcPr>
            <w:tcW w:type="dxa" w:w="2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White-label for consultancies; Flagship Defect Report #1</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Phase 2 exit: channel ≥ 20% of new logos; retainer+platform ≥ 50% of revenue</w:t>
            </w:r>
          </w:p>
        </w:tc>
      </w:tr>
      <w:tr>
        <w:tc>
          <w:tcPr>
            <w:tcW w:type="dxa" w:w="2400"/>
            <w:tcMar>
              <w:top w:type="dxa" w:w="70"/>
              <w:left w:type="dxa" w:w="110"/>
              <w:bottom w:type="dxa" w:w="70"/>
              <w:right w:type="dxa" w:w="110"/>
            </w:tcMar>
            <w:vAlign w:val="center"/>
          </w:tcPr>
          <w:p>
            <w:pPr>
              <w:spacing w:after="0" w:line="240"/>
              <w:jc w:val="left"/>
            </w:pPr>
            <w:r>
              <w:rPr>
                <w:b/>
                <w:bCs/>
                <w:color w:val="222222"/>
                <w:sz w:val="20"/>
                <w:szCs w:val="20"/>
              </w:rPr>
              <w:t xml:space="preserve">v3.0 — GCC Edition (pilot)</w:t>
            </w:r>
          </w:p>
        </w:tc>
        <w:tc>
          <w:tcPr>
            <w:tcW w:type="dxa" w:w="21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M19–24 (Feb–Jul 2028)</w:t>
            </w:r>
          </w:p>
        </w:tc>
        <w:tc>
          <w:tcPr>
            <w:tcW w:type="dxa" w:w="2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Bilingual EN/AR engine on Qatar's Monaqasat conventions</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Phase 3: first GCC paying clients; Nigerian traction precondition</w:t>
            </w:r>
          </w:p>
        </w:tc>
      </w:tr>
      <w:tr>
        <w:tc>
          <w:tcPr>
            <w:tcW w:type="dxa" w:w="2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v3.5 — Scale Hardening</w:t>
            </w:r>
          </w:p>
        </w:tc>
        <w:tc>
          <w:tcPr>
            <w:tcW w:type="dxa" w:w="21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M25–36 (Aug 2028–Jul 2029)</w:t>
            </w:r>
          </w:p>
        </w:tc>
        <w:tc>
          <w:tcPr>
            <w:tcW w:type="dxa" w:w="2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Throughput, reliability, second-market templates</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Base-case M36 run-rate</w:t>
            </w:r>
          </w:p>
        </w:tc>
      </w:tr>
    </w:tbl>
    <w:p>
      <w:pPr>
        <w:spacing w:after="120"/>
      </w:pPr>
    </w:p>
    <w:p>
      <w:pPr>
        <w:spacing w:after="160" w:before="0" w:line="276"/>
        <w:jc w:val="both"/>
      </w:pPr>
      <w:r>
        <w:rPr>
          <w:b w:val="false"/>
          <w:bCs w:val="false"/>
          <w:i w:val="false"/>
          <w:iCs w:val="false"/>
          <w:color w:val="222222"/>
          <w:sz w:val="22"/>
          <w:szCs w:val="22"/>
        </w:rPr>
        <w:t xml:space="preserve">The dependency spine is strict: v0.5 requires a passed Gate 0; v2.0 requires v1.0's eval-harness evidence that automation is safe to expose; v3.0 requires Phase 2 commercial exits and is otherwise deferred without ceremony. Nothing on this map is entitled to exist.</w:t>
      </w:r>
    </w:p>
    <w:p>
      <w:pPr>
        <w:pBdr>
          <w:bottom w:val="single" w:color="1F3A5F" w:sz="8" w:space="2"/>
        </w:pBdr>
        <w:spacing w:after="220" w:before="60"/>
      </w:pPr>
    </w:p>
    <w:p>
      <w:pPr>
        <w:pStyle w:val="Heading1"/>
        <w:spacing w:after="180" w:before="320"/>
      </w:pPr>
      <w:r>
        <w:t xml:space="preserve">4. Engine Component Maturity Matrix</w:t>
      </w:r>
    </w:p>
    <w:p>
      <w:pPr>
        <w:spacing w:after="160" w:before="0" w:line="276"/>
        <w:jc w:val="both"/>
      </w:pPr>
      <w:r>
        <w:rPr>
          <w:b w:val="false"/>
          <w:bCs w:val="false"/>
          <w:i w:val="false"/>
          <w:iCs w:val="false"/>
          <w:color w:val="222222"/>
          <w:sz w:val="22"/>
          <w:szCs w:val="22"/>
        </w:rPr>
        <w:t xml:space="preserve">Each component graduates through defined maturity levels; the matrix below is the single source of truth for what 'done' means per phase. v0 = manual-assisted and internal-only; v1 = productised with measured quality; v2 = self-serve or channel-exposed; v3 = localised for GCC.</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1700"/>
        <w:gridCol w:w="1900"/>
        <w:gridCol w:w="2000"/>
        <w:gridCol w:w="1960"/>
        <w:gridCol w:w="1800"/>
      </w:tblGrid>
      <w:tr>
        <w:trPr>
          <w:tblHeader/>
        </w:trPr>
        <w:tc>
          <w:tcPr>
            <w:tcW w:type="dxa" w:w="17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Component</w:t>
            </w:r>
          </w:p>
        </w:tc>
        <w:tc>
          <w:tcPr>
            <w:tcW w:type="dxa" w:w="19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v0.1 (Gate 0)</w:t>
            </w:r>
          </w:p>
        </w:tc>
        <w:tc>
          <w:tcPr>
            <w:tcW w:type="dxa" w:w="20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v1.0 (Phase 1 exit)</w:t>
            </w:r>
          </w:p>
        </w:tc>
        <w:tc>
          <w:tcPr>
            <w:tcW w:type="dxa" w:w="19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v2.0 (Platform GA)</w:t>
            </w:r>
          </w:p>
        </w:tc>
        <w:tc>
          <w:tcPr>
            <w:tcW w:type="dxa" w:w="18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v3.0 (GCC)</w:t>
            </w:r>
          </w:p>
        </w:tc>
      </w:tr>
      <w:tr>
        <w:tc>
          <w:tcPr>
            <w:tcW w:type="dxa" w:w="1700"/>
            <w:tcMar>
              <w:top w:type="dxa" w:w="70"/>
              <w:left w:type="dxa" w:w="110"/>
              <w:bottom w:type="dxa" w:w="70"/>
              <w:right w:type="dxa" w:w="110"/>
            </w:tcMar>
            <w:vAlign w:val="center"/>
          </w:tcPr>
          <w:p>
            <w:pPr>
              <w:spacing w:after="0" w:line="240"/>
              <w:jc w:val="left"/>
            </w:pPr>
            <w:r>
              <w:rPr>
                <w:b/>
                <w:bCs/>
                <w:color w:val="222222"/>
                <w:sz w:val="20"/>
                <w:szCs w:val="20"/>
              </w:rPr>
              <w:t xml:space="preserve">Requirement Extractor</w:t>
            </w:r>
          </w:p>
        </w:tc>
        <w:tc>
          <w:tcPr>
            <w:tcW w:type="dxa" w:w="19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LLM shred of tender docs incl. OCR; every item human-confirmed; citation to page/paragraph</w:t>
            </w:r>
          </w:p>
        </w:tc>
        <w:tc>
          <w:tcPr>
            <w:tcW w:type="dxa" w:w="20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Recall ≥ 95% on the eval harness; agency-format detection for BPP SBDs</w:t>
            </w:r>
          </w:p>
        </w:tc>
        <w:tc>
          <w:tcPr>
            <w:tcW w:type="dxa" w:w="19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Confidence-scored auto-confirm for low-risk items; reviewer queue for the rest</w:t>
            </w:r>
          </w:p>
        </w:tc>
        <w:tc>
          <w:tcPr>
            <w:tcW w:type="dxa" w:w="18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Arabic/English extraction; Monaqasat document conventions</w:t>
            </w:r>
          </w:p>
        </w:tc>
      </w:tr>
      <w:tr>
        <w:tc>
          <w:tcPr>
            <w:tcW w:type="dxa" w:w="17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Compliance Checklist State Machine</w:t>
            </w:r>
          </w:p>
        </w:tc>
        <w:tc>
          <w:tcPr>
            <w:tcW w:type="dxa" w:w="19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Core states, fatal-block rule (no submission-ready with fatal open)</w:t>
            </w:r>
          </w:p>
        </w:tc>
        <w:tc>
          <w:tcPr>
            <w:tcW w:type="dxa" w:w="20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Owners, SLA clocks, evidence slots, telemetry</w:t>
            </w:r>
          </w:p>
        </w:tc>
        <w:tc>
          <w:tcPr>
            <w:tcW w:type="dxa" w:w="19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Multi-tender portfolio view per client</w:t>
            </w:r>
          </w:p>
        </w:tc>
        <w:tc>
          <w:tcPr>
            <w:tcW w:type="dxa" w:w="18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Jurisdiction-switchable rule packs</w:t>
            </w:r>
          </w:p>
        </w:tc>
      </w:tr>
      <w:tr>
        <w:tc>
          <w:tcPr>
            <w:tcW w:type="dxa" w:w="1700"/>
            <w:tcMar>
              <w:top w:type="dxa" w:w="70"/>
              <w:left w:type="dxa" w:w="110"/>
              <w:bottom w:type="dxa" w:w="70"/>
              <w:right w:type="dxa" w:w="110"/>
            </w:tcMar>
            <w:vAlign w:val="center"/>
          </w:tcPr>
          <w:p>
            <w:pPr>
              <w:spacing w:after="0" w:line="240"/>
              <w:jc w:val="left"/>
            </w:pPr>
            <w:r>
              <w:rPr>
                <w:b/>
                <w:bCs/>
                <w:color w:val="222222"/>
                <w:sz w:val="20"/>
                <w:szCs w:val="20"/>
              </w:rPr>
              <w:t xml:space="preserve">Certificate Vault</w:t>
            </w:r>
          </w:p>
        </w:tc>
        <w:tc>
          <w:tcPr>
            <w:tcW w:type="dxa" w:w="19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(folder discipline only)</w:t>
            </w:r>
          </w:p>
        </w:tc>
        <w:tc>
          <w:tcPr>
            <w:tcW w:type="dxa" w:w="20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Structured artefacts, expiry telemetry, renewal calendar, issuing-body metadata</w:t>
            </w:r>
          </w:p>
        </w:tc>
        <w:tc>
          <w:tcPr>
            <w:tcW w:type="dxa" w:w="19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Self-serve upload, WhatsApp/email renewal nudges, integrity checks</w:t>
            </w:r>
          </w:p>
        </w:tc>
        <w:tc>
          <w:tcPr>
            <w:tcW w:type="dxa" w:w="18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GCC artefact taxonomy (CR, ISO, ministry approvals)</w:t>
            </w:r>
          </w:p>
        </w:tc>
      </w:tr>
      <w:tr>
        <w:tc>
          <w:tcPr>
            <w:tcW w:type="dxa" w:w="17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Capability Library</w:t>
            </w:r>
          </w:p>
        </w:tc>
        <w:tc>
          <w:tcPr>
            <w:tcW w:type="dxa" w:w="19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Manual curation per engagement</w:t>
            </w:r>
          </w:p>
        </w:tc>
        <w:tc>
          <w:tcPr>
            <w:tcW w:type="dxa" w:w="20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Evidence-link enforcement; structured past-performance schema</w:t>
            </w:r>
          </w:p>
        </w:tc>
        <w:tc>
          <w:tcPr>
            <w:tcW w:type="dxa" w:w="19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Search and auto-suggest into drafts; gap flags vs tender asks</w:t>
            </w:r>
          </w:p>
        </w:tc>
        <w:tc>
          <w:tcPr>
            <w:tcW w:type="dxa" w:w="18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Bilingual capability records</w:t>
            </w:r>
          </w:p>
        </w:tc>
      </w:tr>
      <w:tr>
        <w:tc>
          <w:tcPr>
            <w:tcW w:type="dxa" w:w="1700"/>
            <w:tcMar>
              <w:top w:type="dxa" w:w="70"/>
              <w:left w:type="dxa" w:w="110"/>
              <w:bottom w:type="dxa" w:w="70"/>
              <w:right w:type="dxa" w:w="110"/>
            </w:tcMar>
            <w:vAlign w:val="center"/>
          </w:tcPr>
          <w:p>
            <w:pPr>
              <w:spacing w:after="0" w:line="240"/>
              <w:jc w:val="left"/>
            </w:pPr>
            <w:r>
              <w:rPr>
                <w:b/>
                <w:bCs/>
                <w:color w:val="222222"/>
                <w:sz w:val="20"/>
                <w:szCs w:val="20"/>
              </w:rPr>
              <w:t xml:space="preserve">BOQ Verifier</w:t>
            </w:r>
          </w:p>
        </w:tc>
        <w:tc>
          <w:tcPr>
            <w:tcW w:type="dxa" w:w="19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w:t>
            </w:r>
          </w:p>
        </w:tc>
        <w:tc>
          <w:tcPr>
            <w:tcW w:type="dxa" w:w="20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Deterministic arithmetic, rate/extension consistency, words-vs-figures reconciliation</w:t>
            </w:r>
          </w:p>
        </w:tc>
        <w:tc>
          <w:tcPr>
            <w:tcW w:type="dxa" w:w="19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Anomaly flags vs client's own historical rates</w:t>
            </w:r>
          </w:p>
        </w:tc>
        <w:tc>
          <w:tcPr>
            <w:tcW w:type="dxa" w:w="18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Format variants for GCC bill structures</w:t>
            </w:r>
          </w:p>
        </w:tc>
      </w:tr>
      <w:tr>
        <w:tc>
          <w:tcPr>
            <w:tcW w:type="dxa" w:w="17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Drafting Engine</w:t>
            </w:r>
          </w:p>
        </w:tc>
        <w:tc>
          <w:tcPr>
            <w:tcW w:type="dxa" w:w="19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Grounded draft sections for autopsy remediation only</w:t>
            </w:r>
          </w:p>
        </w:tc>
        <w:tc>
          <w:tcPr>
            <w:tcW w:type="dxa" w:w="20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Criteria-structured responsive sections in client voice; zero unevidenced claims</w:t>
            </w:r>
          </w:p>
        </w:tc>
        <w:tc>
          <w:tcPr>
            <w:tcW w:type="dxa" w:w="19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Template presets per agency/donor format; style memory</w:t>
            </w:r>
          </w:p>
        </w:tc>
        <w:tc>
          <w:tcPr>
            <w:tcW w:type="dxa" w:w="18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EN/AR generation with native-reviewer loop</w:t>
            </w:r>
          </w:p>
        </w:tc>
      </w:tr>
      <w:tr>
        <w:tc>
          <w:tcPr>
            <w:tcW w:type="dxa" w:w="1700"/>
            <w:tcMar>
              <w:top w:type="dxa" w:w="70"/>
              <w:left w:type="dxa" w:w="110"/>
              <w:bottom w:type="dxa" w:w="70"/>
              <w:right w:type="dxa" w:w="110"/>
            </w:tcMar>
            <w:vAlign w:val="center"/>
          </w:tcPr>
          <w:p>
            <w:pPr>
              <w:spacing w:after="0" w:line="240"/>
              <w:jc w:val="left"/>
            </w:pPr>
            <w:r>
              <w:rPr>
                <w:b/>
                <w:bCs/>
                <w:color w:val="222222"/>
                <w:sz w:val="20"/>
                <w:szCs w:val="20"/>
              </w:rPr>
              <w:t xml:space="preserve">Assembly Engine</w:t>
            </w:r>
          </w:p>
        </w:tc>
        <w:tc>
          <w:tcPr>
            <w:tcW w:type="dxa" w:w="19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Autopsy report assembly (existing docx pipeline)</w:t>
            </w:r>
          </w:p>
        </w:tc>
        <w:tc>
          <w:tcPr>
            <w:tcW w:type="dxa" w:w="20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Full package to tender spec: pagination, tabbing, cross-refs, copies manifest</w:t>
            </w:r>
          </w:p>
        </w:tc>
        <w:tc>
          <w:tcPr>
            <w:tcW w:type="dxa" w:w="19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Multi-format output; portal-ready file sets</w:t>
            </w:r>
          </w:p>
        </w:tc>
        <w:tc>
          <w:tcPr>
            <w:tcW w:type="dxa" w:w="18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Bilingual mirrored packages</w:t>
            </w:r>
          </w:p>
        </w:tc>
      </w:tr>
      <w:tr>
        <w:tc>
          <w:tcPr>
            <w:tcW w:type="dxa" w:w="17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Red-Team Scorer</w:t>
            </w:r>
          </w:p>
        </w:tc>
        <w:tc>
          <w:tcPr>
            <w:tcW w:type="dxa" w:w="19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w:t>
            </w:r>
          </w:p>
        </w:tc>
        <w:tc>
          <w:tcPr>
            <w:tcW w:type="dxa" w:w="20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Rubric-based hostile-evaluator pass at T-72h; findings logged to defect taxonomy</w:t>
            </w:r>
          </w:p>
        </w:tc>
        <w:tc>
          <w:tcPr>
            <w:tcW w:type="dxa" w:w="19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Calibrated against accumulated win/loss and defect data</w:t>
            </w:r>
          </w:p>
        </w:tc>
        <w:tc>
          <w:tcPr>
            <w:tcW w:type="dxa" w:w="18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GCC evaluator-convention rubric</w:t>
            </w:r>
          </w:p>
        </w:tc>
      </w:tr>
      <w:tr>
        <w:tc>
          <w:tcPr>
            <w:tcW w:type="dxa" w:w="1700"/>
            <w:tcMar>
              <w:top w:type="dxa" w:w="70"/>
              <w:left w:type="dxa" w:w="110"/>
              <w:bottom w:type="dxa" w:w="70"/>
              <w:right w:type="dxa" w:w="110"/>
            </w:tcMar>
            <w:vAlign w:val="center"/>
          </w:tcPr>
          <w:p>
            <w:pPr>
              <w:spacing w:after="0" w:line="240"/>
              <w:jc w:val="left"/>
            </w:pPr>
            <w:r>
              <w:rPr>
                <w:b/>
                <w:bCs/>
                <w:color w:val="222222"/>
                <w:sz w:val="20"/>
                <w:szCs w:val="20"/>
              </w:rPr>
              <w:t xml:space="preserve">Client Portal</w:t>
            </w:r>
          </w:p>
        </w:tc>
        <w:tc>
          <w:tcPr>
            <w:tcW w:type="dxa" w:w="19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w:t>
            </w:r>
          </w:p>
        </w:tc>
        <w:tc>
          <w:tcPr>
            <w:tcW w:type="dxa" w:w="20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w:t>
            </w:r>
          </w:p>
        </w:tc>
        <w:tc>
          <w:tcPr>
            <w:tcW w:type="dxa" w:w="19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Alpha (v1.5): vault view, deadlines, engagement status; GA (v2.0): self-serve Starter tier, autopsy-on-demand ordering</w:t>
            </w:r>
          </w:p>
        </w:tc>
        <w:tc>
          <w:tcPr>
            <w:tcW w:type="dxa" w:w="18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Arabic UI; GCC tenancy region</w:t>
            </w:r>
          </w:p>
        </w:tc>
      </w:tr>
      <w:tr>
        <w:tc>
          <w:tcPr>
            <w:tcW w:type="dxa" w:w="17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Data &amp; Analytics</w:t>
            </w:r>
          </w:p>
        </w:tc>
        <w:tc>
          <w:tcPr>
            <w:tcW w:type="dxa" w:w="19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Defect taxonomy v0 seeded from first five autopsies</w:t>
            </w:r>
          </w:p>
        </w:tc>
        <w:tc>
          <w:tcPr>
            <w:tcW w:type="dxa" w:w="20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Anonymised defect dataset with consent language in engagement letters</w:t>
            </w:r>
          </w:p>
        </w:tc>
        <w:tc>
          <w:tcPr>
            <w:tcW w:type="dxa" w:w="19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Benchmarks; Flagship Defect Report #1 pipeline (v2.5)</w:t>
            </w:r>
          </w:p>
        </w:tc>
        <w:tc>
          <w:tcPr>
            <w:tcW w:type="dxa" w:w="18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Cross-market comparison layer</w:t>
            </w:r>
          </w:p>
        </w:tc>
      </w:tr>
    </w:tbl>
    <w:p>
      <w:pPr>
        <w:pBdr>
          <w:bottom w:val="single" w:color="1F3A5F" w:sz="8" w:space="2"/>
        </w:pBdr>
        <w:spacing w:after="220" w:before="60"/>
      </w:pPr>
    </w:p>
    <w:p>
      <w:pPr>
        <w:pStyle w:val="Heading1"/>
        <w:spacing w:after="180" w:before="320"/>
      </w:pPr>
      <w:r>
        <w:t xml:space="preserve">5. Release v0.1 — Autopsy Pipeline (M1–2)</w:t>
      </w:r>
    </w:p>
    <w:p>
      <w:pPr>
        <w:pStyle w:val="Heading2"/>
        <w:spacing w:after="140" w:before="240"/>
      </w:pPr>
      <w:r>
        <w:t xml:space="preserve">5.1 Scope</w:t>
      </w:r>
    </w:p>
    <w:p>
      <w:pPr>
        <w:pStyle w:val="ListParagraph"/>
        <w:numPr>
          <w:ilvl w:val="0"/>
          <w:numId w:val="2"/>
        </w:numPr>
        <w:spacing w:after="100" w:line="264"/>
      </w:pPr>
      <w:r>
        <w:rPr>
          <w:sz w:val="22"/>
          <w:szCs w:val="22"/>
        </w:rPr>
        <w:t xml:space="preserve">Intake kit: guided NDA-first document intake over WhatsApp Business and email; secure storage with per-client isolation; scanned-document triage checklist.</w:t>
      </w:r>
    </w:p>
    <w:p>
      <w:pPr>
        <w:pStyle w:val="ListParagraph"/>
        <w:numPr>
          <w:ilvl w:val="0"/>
          <w:numId w:val="2"/>
        </w:numPr>
        <w:spacing w:after="100" w:line="264"/>
      </w:pPr>
      <w:r>
        <w:rPr>
          <w:sz w:val="22"/>
          <w:szCs w:val="22"/>
        </w:rPr>
        <w:t xml:space="preserve">Extraction v0: OCR baseline (purchased) plus LLM requirement shred with page/paragraph citations; human confirmation UI can be a structured spreadsheet — the workflow, not the interface, is the product.</w:t>
      </w:r>
    </w:p>
    <w:p>
      <w:pPr>
        <w:pStyle w:val="ListParagraph"/>
        <w:numPr>
          <w:ilvl w:val="0"/>
          <w:numId w:val="2"/>
        </w:numPr>
        <w:spacing w:after="100" w:line="264"/>
      </w:pPr>
      <w:r>
        <w:rPr>
          <w:sz w:val="22"/>
          <w:szCs w:val="22"/>
        </w:rPr>
        <w:t xml:space="preserve">Checklist State Machine v0: requirement states, severity classes (fatal / likely-fatal / scoring-risk / cosmetic), fatal-block rule.</w:t>
      </w:r>
    </w:p>
    <w:p>
      <w:pPr>
        <w:pStyle w:val="ListParagraph"/>
        <w:numPr>
          <w:ilvl w:val="0"/>
          <w:numId w:val="2"/>
        </w:numPr>
        <w:spacing w:after="100" w:line="264"/>
      </w:pPr>
      <w:r>
        <w:rPr>
          <w:sz w:val="22"/>
          <w:szCs w:val="22"/>
        </w:rPr>
        <w:t xml:space="preserve">Autopsy Report Generator: the Appendix-A structure from BP, produced through the existing docx assembly pipeline; disqualification-risk score with documented method note.</w:t>
      </w:r>
    </w:p>
    <w:p>
      <w:pPr>
        <w:pStyle w:val="ListParagraph"/>
        <w:numPr>
          <w:ilvl w:val="0"/>
          <w:numId w:val="2"/>
        </w:numPr>
        <w:spacing w:after="100" w:line="264"/>
      </w:pPr>
      <w:r>
        <w:rPr>
          <w:sz w:val="22"/>
          <w:szCs w:val="22"/>
        </w:rPr>
        <w:t xml:space="preserve">Defect Taxonomy v0: seeded and versioned from the first five autopsies; every finding must map to a taxonomy entry or extend it.</w:t>
      </w:r>
    </w:p>
    <w:p>
      <w:pPr>
        <w:pStyle w:val="ListParagraph"/>
        <w:numPr>
          <w:ilvl w:val="0"/>
          <w:numId w:val="2"/>
        </w:numPr>
        <w:spacing w:after="100" w:line="264"/>
      </w:pPr>
      <w:r>
        <w:rPr>
          <w:sz w:val="22"/>
          <w:szCs w:val="22"/>
        </w:rPr>
        <w:t xml:space="preserve">Eval Harness v0: ten labelled tender documents with hand-verified requirement lists — the yardstick every later extraction claim is measured against.</w:t>
      </w:r>
    </w:p>
    <w:p>
      <w:pPr>
        <w:pStyle w:val="Heading2"/>
        <w:spacing w:after="140" w:before="240"/>
      </w:pPr>
      <w:r>
        <w:t xml:space="preserve">5.2 Definition of Done</w:t>
      </w:r>
    </w:p>
    <w:p>
      <w:pPr>
        <w:spacing w:after="160" w:before="0" w:line="276"/>
        <w:jc w:val="both"/>
      </w:pPr>
      <w:r>
        <w:rPr>
          <w:b w:val="false"/>
          <w:bCs w:val="false"/>
          <w:i w:val="false"/>
          <w:iCs w:val="false"/>
          <w:color w:val="222222"/>
          <w:sz w:val="22"/>
          <w:szCs w:val="22"/>
        </w:rPr>
        <w:t xml:space="preserve">Five autopsies delivered inside SLA (five working days; 48 hours for live pursuits); every requirement human-confirmed; audit log complete for every engagement; taxonomy and eval harness populated; founder engineering ≤ 4 weeks (hard tripwire — breach pauses the venture per BP §10); and the Gate 0 pass/kill table answered with evidence. Software polish is explicitly out of scope: v0.1 exists to make the commercial gate decidable, nothing more.</w:t>
      </w:r>
    </w:p>
    <w:p>
      <w:pPr>
        <w:pStyle w:val="Heading2"/>
        <w:spacing w:after="140" w:before="240"/>
      </w:pPr>
      <w:r>
        <w:t xml:space="preserve">5.3 Founder-hour budget</w:t>
      </w:r>
    </w:p>
    <w:p>
      <w:pPr>
        <w:spacing w:after="160" w:before="0" w:line="276"/>
        <w:jc w:val="both"/>
      </w:pPr>
      <w:r>
        <w:rPr>
          <w:b w:val="false"/>
          <w:bCs w:val="false"/>
          <w:i w:val="false"/>
          <w:iCs w:val="false"/>
          <w:color w:val="222222"/>
          <w:sz w:val="22"/>
          <w:szCs w:val="22"/>
        </w:rPr>
        <w:t xml:space="preserve">≤ 140 hours engineering plus ~40 hours of delivery participation. The four-week tripwire protects the wider portfolio and is not extendable by enthusiasm.</w:t>
      </w:r>
    </w:p>
    <w:p>
      <w:pPr>
        <w:pBdr>
          <w:bottom w:val="single" w:color="1F3A5F" w:sz="8" w:space="2"/>
        </w:pBdr>
        <w:spacing w:after="220" w:before="60"/>
      </w:pPr>
    </w:p>
    <w:p>
      <w:pPr>
        <w:pStyle w:val="Heading1"/>
        <w:spacing w:after="180" w:before="320"/>
      </w:pPr>
      <w:r>
        <w:t xml:space="preserve">6. Releases v0.5 and v1.0 — The Full Service Engine (M3–8)</w:t>
      </w:r>
    </w:p>
    <w:p>
      <w:pPr>
        <w:pStyle w:val="Heading2"/>
        <w:spacing w:after="140" w:before="240"/>
      </w:pPr>
      <w:r>
        <w:t xml:space="preserve">6.1 v0.5 — Vault &amp; Verifier (M3–5)</w:t>
      </w:r>
    </w:p>
    <w:p>
      <w:pPr>
        <w:pStyle w:val="ListParagraph"/>
        <w:numPr>
          <w:ilvl w:val="0"/>
          <w:numId w:val="2"/>
        </w:numPr>
        <w:spacing w:after="100" w:line="264"/>
      </w:pPr>
      <w:r>
        <w:rPr>
          <w:sz w:val="22"/>
          <w:szCs w:val="22"/>
        </w:rPr>
        <w:t xml:space="preserve">Certificate Vault v1: structured artefact store with issue/expiry dates, issuing-body metadata, renewal lead times and automated telemetry; renewal calendar delivered over WhatsApp/email; Vault seeding is a standard step of every new engagement.</w:t>
      </w:r>
    </w:p>
    <w:p>
      <w:pPr>
        <w:pStyle w:val="ListParagraph"/>
        <w:numPr>
          <w:ilvl w:val="0"/>
          <w:numId w:val="2"/>
        </w:numPr>
        <w:spacing w:after="100" w:line="264"/>
      </w:pPr>
      <w:r>
        <w:rPr>
          <w:sz w:val="22"/>
          <w:szCs w:val="22"/>
        </w:rPr>
        <w:t xml:space="preserve">BOQ Verifier v1: deterministic arithmetic and consistency checks; verifier output embedded as a standard autopsy and assisted-bid annex.</w:t>
      </w:r>
    </w:p>
    <w:p>
      <w:pPr>
        <w:pStyle w:val="ListParagraph"/>
        <w:numPr>
          <w:ilvl w:val="0"/>
          <w:numId w:val="2"/>
        </w:numPr>
        <w:spacing w:after="100" w:line="264"/>
      </w:pPr>
      <w:r>
        <w:rPr>
          <w:sz w:val="22"/>
          <w:szCs w:val="22"/>
        </w:rPr>
        <w:t xml:space="preserve">Assembly Engine v1: full package production to tender spec — pagination, tabbing, cross-references, copies manifest, signature/seal point checklist.</w:t>
      </w:r>
    </w:p>
    <w:p>
      <w:pPr>
        <w:pStyle w:val="ListParagraph"/>
        <w:numPr>
          <w:ilvl w:val="0"/>
          <w:numId w:val="2"/>
        </w:numPr>
        <w:spacing w:after="100" w:line="264"/>
      </w:pPr>
      <w:r>
        <w:rPr>
          <w:sz w:val="22"/>
          <w:szCs w:val="22"/>
        </w:rPr>
        <w:t xml:space="preserve">SBD Corpus v1: ingest and normalise the BPP revised Standard Bidding Documents (mandatory since the May 2025 circular) into versioned templates with a validation harness; agency-format quirks captured as structured annotations, not tribal memory.</w:t>
      </w:r>
    </w:p>
    <w:p>
      <w:pPr>
        <w:pStyle w:val="ListParagraph"/>
        <w:numPr>
          <w:ilvl w:val="0"/>
          <w:numId w:val="2"/>
        </w:numPr>
        <w:spacing w:after="100" w:line="264"/>
      </w:pPr>
      <w:r>
        <w:rPr>
          <w:sz w:val="22"/>
          <w:szCs w:val="22"/>
        </w:rPr>
        <w:t xml:space="preserve">NDPA programme v1: records of processing, client DPAs, breach SOP; NDPC registration when the applicable threshold is met.</w:t>
      </w:r>
    </w:p>
    <w:p>
      <w:pPr>
        <w:pStyle w:val="Heading2"/>
        <w:spacing w:after="140" w:before="240"/>
      </w:pPr>
      <w:r>
        <w:t xml:space="preserve">6.2 v1.0 — Full Service Engine (M6–8)</w:t>
      </w:r>
    </w:p>
    <w:p>
      <w:pPr>
        <w:pStyle w:val="ListParagraph"/>
        <w:numPr>
          <w:ilvl w:val="0"/>
          <w:numId w:val="2"/>
        </w:numPr>
        <w:spacing w:after="100" w:line="264"/>
      </w:pPr>
      <w:r>
        <w:rPr>
          <w:sz w:val="22"/>
          <w:szCs w:val="22"/>
        </w:rPr>
        <w:t xml:space="preserve">Extraction v1: recall ≥ 95% on the (now ≥ 25-document) eval harness; agency-format detection for BPP SBD variants; measured, not asserted.</w:t>
      </w:r>
    </w:p>
    <w:p>
      <w:pPr>
        <w:pStyle w:val="ListParagraph"/>
        <w:numPr>
          <w:ilvl w:val="0"/>
          <w:numId w:val="2"/>
        </w:numPr>
        <w:spacing w:after="100" w:line="264"/>
      </w:pPr>
      <w:r>
        <w:rPr>
          <w:sz w:val="22"/>
          <w:szCs w:val="22"/>
        </w:rPr>
        <w:t xml:space="preserve">Drafting Engine v1: criteria-structured responsive sections in the client's voice, generated only from evidence-linked Capability Library entries; reviewer diff view against prior submissions.</w:t>
      </w:r>
    </w:p>
    <w:p>
      <w:pPr>
        <w:pStyle w:val="ListParagraph"/>
        <w:numPr>
          <w:ilvl w:val="0"/>
          <w:numId w:val="2"/>
        </w:numPr>
        <w:spacing w:after="100" w:line="264"/>
      </w:pPr>
      <w:r>
        <w:rPr>
          <w:sz w:val="22"/>
          <w:szCs w:val="22"/>
        </w:rPr>
        <w:t xml:space="preserve">Red-Team Scorer v1: rubric-based hostile pass at T-72h before any submission; findings feed the taxonomy; a submission cannot ship with an unresolved fatal finding — the rule is enforced by the state machine, not by discipline.</w:t>
      </w:r>
    </w:p>
    <w:p>
      <w:pPr>
        <w:pStyle w:val="ListParagraph"/>
        <w:numPr>
          <w:ilvl w:val="0"/>
          <w:numId w:val="2"/>
        </w:numPr>
        <w:spacing w:after="100" w:line="264"/>
      </w:pPr>
      <w:r>
        <w:rPr>
          <w:sz w:val="22"/>
          <w:szCs w:val="22"/>
        </w:rPr>
        <w:t xml:space="preserve">Prequalification Pack production support: eligibility matrix templates for the formal ₦500m/₦1bn thresholds; Vault-driven assembly; gap-and-renewal remediation plan generator.</w:t>
      </w:r>
    </w:p>
    <w:p>
      <w:pPr>
        <w:pStyle w:val="ListParagraph"/>
        <w:numPr>
          <w:ilvl w:val="0"/>
          <w:numId w:val="2"/>
        </w:numPr>
        <w:spacing w:after="100" w:line="264"/>
      </w:pPr>
      <w:r>
        <w:rPr>
          <w:sz w:val="22"/>
          <w:szCs w:val="22"/>
        </w:rPr>
        <w:t xml:space="preserve">Capability Library v1: structured past-performance schema; evidence-link enforcement live (unevidenced claims mechanically cannot enter drafts).</w:t>
      </w:r>
    </w:p>
    <w:p>
      <w:pPr>
        <w:pStyle w:val="ListParagraph"/>
        <w:numPr>
          <w:ilvl w:val="0"/>
          <w:numId w:val="2"/>
        </w:numPr>
        <w:spacing w:after="100" w:line="264"/>
      </w:pPr>
      <w:r>
        <w:rPr>
          <w:sz w:val="22"/>
          <w:szCs w:val="22"/>
        </w:rPr>
        <w:t xml:space="preserve">Runbooks: autopsy protocol, red-team rubric, assembly runbook and escalation paths written as the work is done — the founder-replacement precondition in code and prose.</w:t>
      </w:r>
    </w:p>
    <w:p>
      <w:pPr>
        <w:pStyle w:val="Heading2"/>
        <w:spacing w:after="140" w:before="240"/>
      </w:pPr>
      <w:r>
        <w:t xml:space="preserve">6.3 Definition of Done (Phase 1 exit)</w:t>
      </w:r>
    </w:p>
    <w:p>
      <w:pPr>
        <w:spacing w:after="160" w:before="0" w:line="276"/>
        <w:jc w:val="both"/>
      </w:pPr>
      <w:r>
        <w:rPr>
          <w:b w:val="false"/>
          <w:bCs w:val="false"/>
          <w:i w:val="false"/>
          <w:iCs w:val="false"/>
          <w:color w:val="222222"/>
          <w:sz w:val="22"/>
          <w:szCs w:val="22"/>
        </w:rPr>
        <w:t xml:space="preserve">Twenty-plus paid engagements delivered through the engine; extraction recall ≥ 95% and client disqualification rate &lt; 2% on engagements Valo touched; on-time submission 100%; ≥ 4 retainers live on the Vault; advisor QA sign-off embedded in every deliverable path; cumulative Phase 0–1 founder engineering within the 350–450 hour budget (v0.1 ≤ 140h, v0.5 ≈ 120h, v1.0 ≈ 150h). Commercial exits per BP §15 hold veto power over Phase 2 regardless of technical readiness.</w:t>
      </w:r>
    </w:p>
    <w:p>
      <w:pPr>
        <w:pBdr>
          <w:bottom w:val="single" w:color="1F3A5F" w:sz="8" w:space="2"/>
        </w:pBdr>
        <w:spacing w:after="220" w:before="60"/>
      </w:pPr>
    </w:p>
    <w:p>
      <w:pPr>
        <w:pStyle w:val="Heading1"/>
        <w:spacing w:after="180" w:before="320"/>
      </w:pPr>
      <w:r>
        <w:t xml:space="preserve">7. Releases v1.5, v2.0, v2.5 — Portal, Platform, Channel (M9–18)</w:t>
      </w:r>
    </w:p>
    <w:p>
      <w:pPr>
        <w:pStyle w:val="Heading2"/>
        <w:spacing w:after="140" w:before="240"/>
      </w:pPr>
      <w:r>
        <w:t xml:space="preserve">7.1 v1.5 — Portal Alpha (M9–11)</w:t>
      </w:r>
    </w:p>
    <w:p>
      <w:pPr>
        <w:pStyle w:val="ListParagraph"/>
        <w:numPr>
          <w:ilvl w:val="0"/>
          <w:numId w:val="2"/>
        </w:numPr>
        <w:spacing w:after="100" w:line="264"/>
      </w:pPr>
      <w:r>
        <w:rPr>
          <w:sz w:val="22"/>
          <w:szCs w:val="22"/>
        </w:rPr>
        <w:t xml:space="preserve">Client-facing web portal: read-only Vault view, expiry countdowns, engagement status, deadline calendar; WhatsApp remains the conversational front door — the portal is the system of record clients can see.</w:t>
      </w:r>
    </w:p>
    <w:p>
      <w:pPr>
        <w:pStyle w:val="ListParagraph"/>
        <w:numPr>
          <w:ilvl w:val="0"/>
          <w:numId w:val="2"/>
        </w:numPr>
        <w:spacing w:after="100" w:line="264"/>
      </w:pPr>
      <w:r>
        <w:rPr>
          <w:sz w:val="22"/>
          <w:szCs w:val="22"/>
        </w:rPr>
        <w:t xml:space="preserve">Secure document exchange replaces ad-hoc email attachments; every exchange lands in the audit log.</w:t>
      </w:r>
    </w:p>
    <w:p>
      <w:pPr>
        <w:pStyle w:val="ListParagraph"/>
        <w:numPr>
          <w:ilvl w:val="0"/>
          <w:numId w:val="2"/>
        </w:numPr>
        <w:spacing w:after="100" w:line="264"/>
      </w:pPr>
      <w:r>
        <w:rPr>
          <w:sz w:val="22"/>
          <w:szCs w:val="22"/>
        </w:rPr>
        <w:t xml:space="preserve">Contract engineer onboards here (revenue-triggered per BP §11): founder shifts to architecture, review and eval-harness stewardship; founder oversight budget ≈ 120 hours across the release.</w:t>
      </w:r>
    </w:p>
    <w:p>
      <w:pPr>
        <w:pStyle w:val="Heading2"/>
        <w:spacing w:after="140" w:before="240"/>
      </w:pPr>
      <w:r>
        <w:t xml:space="preserve">7.2 v2.0 — Platform GA (M12–14)</w:t>
      </w:r>
    </w:p>
    <w:p>
      <w:pPr>
        <w:pStyle w:val="ListParagraph"/>
        <w:numPr>
          <w:ilvl w:val="0"/>
          <w:numId w:val="2"/>
        </w:numPr>
        <w:spacing w:after="100" w:line="264"/>
      </w:pPr>
      <w:r>
        <w:rPr>
          <w:sz w:val="22"/>
          <w:szCs w:val="22"/>
        </w:rPr>
        <w:t xml:space="preserve">Self-serve Starter tier (₦150k/month platform tier plus the ₦350k Starter Retainer as configured in BP §8.1): Vault self-upload, telemetry, monitoring digests, autopsy-on-demand ordering with human-QA fulfilment behind the scenes.</w:t>
      </w:r>
    </w:p>
    <w:p>
      <w:pPr>
        <w:pStyle w:val="ListParagraph"/>
        <w:numPr>
          <w:ilvl w:val="0"/>
          <w:numId w:val="2"/>
        </w:numPr>
        <w:spacing w:after="100" w:line="264"/>
      </w:pPr>
      <w:r>
        <w:rPr>
          <w:sz w:val="22"/>
          <w:szCs w:val="22"/>
        </w:rPr>
        <w:t xml:space="preserve">Confidence-scored auto-confirm for low-risk extraction items, gated by eval-harness evidence per component; the reviewer queue absorbs everything else — automation graduates task by task, never wholesale.</w:t>
      </w:r>
    </w:p>
    <w:p>
      <w:pPr>
        <w:pStyle w:val="ListParagraph"/>
        <w:numPr>
          <w:ilvl w:val="0"/>
          <w:numId w:val="2"/>
        </w:numPr>
        <w:spacing w:after="100" w:line="264"/>
      </w:pPr>
      <w:r>
        <w:rPr>
          <w:sz w:val="22"/>
          <w:szCs w:val="22"/>
        </w:rPr>
        <w:t xml:space="preserve">Billing, entitlements and fair-use metering (two autopsies/month cap; overflow at 50% of list; Band-B always scoped) enforced in software rather than by negotiation.</w:t>
      </w:r>
    </w:p>
    <w:p>
      <w:pPr>
        <w:pStyle w:val="ListParagraph"/>
        <w:numPr>
          <w:ilvl w:val="0"/>
          <w:numId w:val="2"/>
        </w:numPr>
        <w:spacing w:after="100" w:line="264"/>
      </w:pPr>
      <w:r>
        <w:rPr>
          <w:sz w:val="22"/>
          <w:szCs w:val="22"/>
        </w:rPr>
        <w:t xml:space="preserve">Roadmap logic made explicit: the Replacement-Cost Crossover (recurring MRR ≥ ₦4.5m by ~M14–16, base case) is arithmetically reachable only if this release ships on time; v2.0's calendar is therefore protected ahead of any discretionary scope.</w:t>
      </w:r>
    </w:p>
    <w:p>
      <w:pPr>
        <w:pStyle w:val="Heading2"/>
        <w:spacing w:after="140" w:before="240"/>
      </w:pPr>
      <w:r>
        <w:t xml:space="preserve">7.3 v2.5 — Channel &amp; Data Edition (M15–18)</w:t>
      </w:r>
    </w:p>
    <w:p>
      <w:pPr>
        <w:pStyle w:val="ListParagraph"/>
        <w:numPr>
          <w:ilvl w:val="0"/>
          <w:numId w:val="2"/>
        </w:numPr>
        <w:spacing w:after="100" w:line="264"/>
      </w:pPr>
      <w:r>
        <w:rPr>
          <w:sz w:val="22"/>
          <w:szCs w:val="22"/>
        </w:rPr>
        <w:t xml:space="preserve">White-label autopsy capacity for two to three consultancy partners at the BP's 40% revenue share: partner-branded reports, partitioned tenancy, partner-visible QA trail, co-signed sign-off pages.</w:t>
      </w:r>
    </w:p>
    <w:p>
      <w:pPr>
        <w:pStyle w:val="ListParagraph"/>
        <w:numPr>
          <w:ilvl w:val="0"/>
          <w:numId w:val="2"/>
        </w:numPr>
        <w:spacing w:after="100" w:line="264"/>
      </w:pPr>
      <w:r>
        <w:rPr>
          <w:sz w:val="22"/>
          <w:szCs w:val="22"/>
        </w:rPr>
        <w:t xml:space="preserve">Flagship data product: the 'State of Bid Disqualification in Nigeria' report pipeline — anonymised, consent-covered defect statistics; the report markets the firm and deepens the corpus simultaneously.</w:t>
      </w:r>
    </w:p>
    <w:p>
      <w:pPr>
        <w:pStyle w:val="ListParagraph"/>
        <w:numPr>
          <w:ilvl w:val="0"/>
          <w:numId w:val="2"/>
        </w:numPr>
        <w:spacing w:after="100" w:line="264"/>
      </w:pPr>
      <w:r>
        <w:rPr>
          <w:sz w:val="22"/>
          <w:szCs w:val="22"/>
        </w:rPr>
        <w:t xml:space="preserve">Benchmarks in-product: a client's defect profile against anonymised base rates — the retention feature the Vault earns.</w:t>
      </w:r>
    </w:p>
    <w:p>
      <w:pPr>
        <w:pStyle w:val="Heading2"/>
        <w:spacing w:after="140" w:before="240"/>
      </w:pPr>
      <w:r>
        <w:t xml:space="preserve">7.4 Definition of Done (Phase 2 exit)</w:t>
      </w:r>
    </w:p>
    <w:p>
      <w:pPr>
        <w:spacing w:after="160" w:before="0" w:line="276"/>
        <w:jc w:val="both"/>
      </w:pPr>
      <w:r>
        <w:rPr>
          <w:b w:val="false"/>
          <w:bCs w:val="false"/>
          <w:i w:val="false"/>
          <w:iCs w:val="false"/>
          <w:color w:val="222222"/>
          <w:sz w:val="22"/>
          <w:szCs w:val="22"/>
        </w:rPr>
        <w:t xml:space="preserve">Retainer plus platform ≥ 50% of revenue; channel producing ≥ 20% of new logos; crossover trajectory on track; portal uptime and SLA dashboards live; and the eval harness demonstrating that every automation graduation improved, not degraded, measured quality.</w:t>
      </w:r>
    </w:p>
    <w:p>
      <w:pPr>
        <w:pBdr>
          <w:bottom w:val="single" w:color="1F3A5F" w:sz="8" w:space="2"/>
        </w:pBdr>
        <w:spacing w:after="220" w:before="60"/>
      </w:pPr>
    </w:p>
    <w:p>
      <w:pPr>
        <w:pStyle w:val="Heading1"/>
        <w:spacing w:after="180" w:before="320"/>
      </w:pPr>
      <w:r>
        <w:t xml:space="preserve">8. Releases v3.0 and v3.5 — GCC Edition and Scale (M19–36)</w:t>
      </w:r>
    </w:p>
    <w:p>
      <w:pPr>
        <w:pStyle w:val="Heading2"/>
        <w:spacing w:after="140" w:before="240"/>
      </w:pPr>
      <w:r>
        <w:t xml:space="preserve">8.1 v3.0 — GCC Edition pilot (M19–24)</w:t>
      </w:r>
    </w:p>
    <w:p>
      <w:pPr>
        <w:pStyle w:val="ListParagraph"/>
        <w:numPr>
          <w:ilvl w:val="0"/>
          <w:numId w:val="2"/>
        </w:numPr>
        <w:spacing w:after="100" w:line="264"/>
      </w:pPr>
      <w:r>
        <w:rPr>
          <w:sz w:val="22"/>
          <w:szCs w:val="22"/>
        </w:rPr>
        <w:t xml:space="preserve">Precondition, restated without sentiment: Phase 2 commercial exits achieved; otherwise this release defers and the roadmap does not mourn it.</w:t>
      </w:r>
    </w:p>
    <w:p>
      <w:pPr>
        <w:pStyle w:val="ListParagraph"/>
        <w:numPr>
          <w:ilvl w:val="0"/>
          <w:numId w:val="2"/>
        </w:numPr>
        <w:spacing w:after="100" w:line="264"/>
      </w:pPr>
      <w:r>
        <w:rPr>
          <w:sz w:val="22"/>
          <w:szCs w:val="22"/>
        </w:rPr>
        <w:t xml:space="preserve">Localisation package: Qatar Monaqasat document conventions; GCC artefact taxonomy (commercial registration, classifications, ministry approvals); bilingual EN/AR extraction, drafting and mirrored assembly with a native-Arabic reviewer in the loop as a hiring precondition, not an afterthought.</w:t>
      </w:r>
    </w:p>
    <w:p>
      <w:pPr>
        <w:pStyle w:val="ListParagraph"/>
        <w:numPr>
          <w:ilvl w:val="0"/>
          <w:numId w:val="2"/>
        </w:numPr>
        <w:spacing w:after="100" w:line="264"/>
      </w:pPr>
      <w:r>
        <w:rPr>
          <w:sz w:val="22"/>
          <w:szCs w:val="22"/>
        </w:rPr>
        <w:t xml:space="preserve">Jurisdiction-switchable rule packs in the state machine; GCC tenancy region and data-residency options.</w:t>
      </w:r>
    </w:p>
    <w:p>
      <w:pPr>
        <w:pStyle w:val="ListParagraph"/>
        <w:numPr>
          <w:ilvl w:val="0"/>
          <w:numId w:val="2"/>
        </w:numPr>
        <w:spacing w:after="100" w:line="264"/>
      </w:pPr>
      <w:r>
        <w:rPr>
          <w:sz w:val="22"/>
          <w:szCs w:val="22"/>
        </w:rPr>
        <w:t xml:space="preserve">Founder proximity becomes product advantage: Doha-based discovery of portal quirks and evaluator conventions feeds the corpus the way Abuja fed the Nigerian one.</w:t>
      </w:r>
    </w:p>
    <w:p>
      <w:pPr>
        <w:pStyle w:val="Heading2"/>
        <w:spacing w:after="140" w:before="240"/>
      </w:pPr>
      <w:r>
        <w:t xml:space="preserve">8.2 v3.5 — Scale hardening (M25–36)</w:t>
      </w:r>
    </w:p>
    <w:p>
      <w:pPr>
        <w:pStyle w:val="ListParagraph"/>
        <w:numPr>
          <w:ilvl w:val="0"/>
          <w:numId w:val="2"/>
        </w:numPr>
        <w:spacing w:after="100" w:line="264"/>
      </w:pPr>
      <w:r>
        <w:rPr>
          <w:sz w:val="22"/>
          <w:szCs w:val="22"/>
        </w:rPr>
        <w:t xml:space="preserve">Throughput engineering: parallel engagement capacity, queue management at deadline peaks, template auto-detection across the agency corpus.</w:t>
      </w:r>
    </w:p>
    <w:p>
      <w:pPr>
        <w:pStyle w:val="ListParagraph"/>
        <w:numPr>
          <w:ilvl w:val="0"/>
          <w:numId w:val="2"/>
        </w:numPr>
        <w:spacing w:after="100" w:line="264"/>
      </w:pPr>
      <w:r>
        <w:rPr>
          <w:sz w:val="22"/>
          <w:szCs w:val="22"/>
        </w:rPr>
        <w:t xml:space="preserve">Reliability: SLA instrumentation matured into alerting; disaster-recovery runbooks tested; model-provider abstraction layer exercised with a live secondary.</w:t>
      </w:r>
    </w:p>
    <w:p>
      <w:pPr>
        <w:pStyle w:val="ListParagraph"/>
        <w:numPr>
          <w:ilvl w:val="0"/>
          <w:numId w:val="2"/>
        </w:numPr>
        <w:spacing w:after="100" w:line="264"/>
      </w:pPr>
      <w:r>
        <w:rPr>
          <w:sz w:val="22"/>
          <w:szCs w:val="22"/>
        </w:rPr>
        <w:t xml:space="preserve">Second-market template packs (Saudi Etimad exploration) only as pull-driven work — a named paying prospect, or it stays in the backlog.</w:t>
      </w:r>
    </w:p>
    <w:p>
      <w:pPr>
        <w:pBdr>
          <w:bottom w:val="single" w:color="1F3A5F" w:sz="8" w:space="2"/>
        </w:pBdr>
        <w:spacing w:after="220" w:before="60"/>
      </w:pPr>
    </w:p>
    <w:p>
      <w:pPr>
        <w:pStyle w:val="Heading1"/>
        <w:spacing w:after="180" w:before="320"/>
      </w:pPr>
      <w:r>
        <w:t xml:space="preserve">9. Data &amp; Corpus Roadmap</w:t>
      </w:r>
    </w:p>
    <w:p>
      <w:pPr>
        <w:spacing w:after="160" w:before="0" w:line="276"/>
        <w:jc w:val="both"/>
      </w:pPr>
      <w:r>
        <w:rPr>
          <w:b w:val="false"/>
          <w:bCs w:val="false"/>
          <w:i w:val="false"/>
          <w:iCs w:val="false"/>
          <w:color w:val="222222"/>
          <w:sz w:val="22"/>
          <w:szCs w:val="22"/>
        </w:rPr>
        <w:t xml:space="preserve">The durable moat is data discipline. Four corpora compound across releases, each with an owner, a versioning rule and consent posture:</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400"/>
        <w:gridCol w:w="2160"/>
        <w:gridCol w:w="2500"/>
        <w:gridCol w:w="2300"/>
      </w:tblGrid>
      <w:tr>
        <w:trPr>
          <w:tblHeader/>
        </w:trPr>
        <w:tc>
          <w:tcPr>
            <w:tcW w:type="dxa" w:w="2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Corpus</w:t>
            </w:r>
          </w:p>
        </w:tc>
        <w:tc>
          <w:tcPr>
            <w:tcW w:type="dxa" w:w="21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Seeded</w:t>
            </w:r>
          </w:p>
        </w:tc>
        <w:tc>
          <w:tcPr>
            <w:tcW w:type="dxa" w:w="25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Grows by</w:t>
            </w:r>
          </w:p>
        </w:tc>
        <w:tc>
          <w:tcPr>
            <w:tcW w:type="dxa" w:w="23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Used for</w:t>
            </w:r>
          </w:p>
        </w:tc>
      </w:tr>
      <w:tr>
        <w:tc>
          <w:tcPr>
            <w:tcW w:type="dxa" w:w="2400"/>
            <w:tcMar>
              <w:top w:type="dxa" w:w="70"/>
              <w:left w:type="dxa" w:w="110"/>
              <w:bottom w:type="dxa" w:w="70"/>
              <w:right w:type="dxa" w:w="110"/>
            </w:tcMar>
            <w:vAlign w:val="center"/>
          </w:tcPr>
          <w:p>
            <w:pPr>
              <w:spacing w:after="0" w:line="240"/>
              <w:jc w:val="left"/>
            </w:pPr>
            <w:r>
              <w:rPr>
                <w:b/>
                <w:bCs/>
                <w:color w:val="222222"/>
                <w:sz w:val="20"/>
                <w:szCs w:val="20"/>
              </w:rPr>
              <w:t xml:space="preserve">SBD &amp; agency template corpus</w:t>
            </w:r>
          </w:p>
        </w:tc>
        <w:tc>
          <w:tcPr>
            <w:tcW w:type="dxa" w:w="21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v0.5 from the mandatory BPP revised SBDs</w:t>
            </w:r>
          </w:p>
        </w:tc>
        <w:tc>
          <w:tcPr>
            <w:tcW w:type="dxa" w:w="2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Every new tender format encountered; circular watch for revisions</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Extraction accuracy, assembly presets, validation harness</w:t>
            </w:r>
          </w:p>
        </w:tc>
      </w:tr>
      <w:tr>
        <w:tc>
          <w:tcPr>
            <w:tcW w:type="dxa" w:w="2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Defect taxonomy &amp; dataset</w:t>
            </w:r>
          </w:p>
        </w:tc>
        <w:tc>
          <w:tcPr>
            <w:tcW w:type="dxa" w:w="21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v0.1 from the first five autopsies</w:t>
            </w:r>
          </w:p>
        </w:tc>
        <w:tc>
          <w:tcPr>
            <w:tcW w:type="dxa" w:w="2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Every finding on every engagement (anonymised under engagement-letter consent)</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Red-team rubric, benchmarks, Flagship Report, sales evidence</w:t>
            </w:r>
          </w:p>
        </w:tc>
      </w:tr>
      <w:tr>
        <w:tc>
          <w:tcPr>
            <w:tcW w:type="dxa" w:w="2400"/>
            <w:tcMar>
              <w:top w:type="dxa" w:w="70"/>
              <w:left w:type="dxa" w:w="110"/>
              <w:bottom w:type="dxa" w:w="70"/>
              <w:right w:type="dxa" w:w="110"/>
            </w:tcMar>
            <w:vAlign w:val="center"/>
          </w:tcPr>
          <w:p>
            <w:pPr>
              <w:spacing w:after="0" w:line="240"/>
              <w:jc w:val="left"/>
            </w:pPr>
            <w:r>
              <w:rPr>
                <w:b/>
                <w:bCs/>
                <w:color w:val="222222"/>
                <w:sz w:val="20"/>
                <w:szCs w:val="20"/>
              </w:rPr>
              <w:t xml:space="preserve">Eval harness</w:t>
            </w:r>
          </w:p>
        </w:tc>
        <w:tc>
          <w:tcPr>
            <w:tcW w:type="dxa" w:w="21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v0.1 with 10 hand-labelled tenders</w:t>
            </w:r>
          </w:p>
        </w:tc>
        <w:tc>
          <w:tcPr>
            <w:tcW w:type="dxa" w:w="2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25 documents by v1.0; every automation graduation adds regression cases</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Recall measurement; the permission slip for any auto-confirm</w:t>
            </w:r>
          </w:p>
        </w:tc>
      </w:tr>
      <w:tr>
        <w:tc>
          <w:tcPr>
            <w:tcW w:type="dxa" w:w="2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Client Vaults &amp; Capability Libraries</w:t>
            </w:r>
          </w:p>
        </w:tc>
        <w:tc>
          <w:tcPr>
            <w:tcW w:type="dxa" w:w="21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Per client at onboarding</w:t>
            </w:r>
          </w:p>
        </w:tc>
        <w:tc>
          <w:tcPr>
            <w:tcW w:type="dxa" w:w="2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Every engagement; renewal cycles</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Retention, switching cost, drafting grounding, prequal packs</w:t>
            </w:r>
          </w:p>
        </w:tc>
      </w:tr>
    </w:tbl>
    <w:p>
      <w:pPr>
        <w:spacing w:after="120"/>
      </w:pPr>
    </w:p>
    <w:p>
      <w:pPr>
        <w:spacing w:after="160" w:before="0" w:line="276"/>
        <w:jc w:val="both"/>
      </w:pPr>
      <w:r>
        <w:rPr>
          <w:b w:val="false"/>
          <w:bCs w:val="false"/>
          <w:i w:val="false"/>
          <w:iCs w:val="false"/>
          <w:color w:val="222222"/>
          <w:sz w:val="22"/>
          <w:szCs w:val="22"/>
        </w:rPr>
        <w:t xml:space="preserve">Rule: a release is not done until the corpus assets it was scheduled to harvest are versioned and in place. Shipping software without harvesting data is scored as a miss.</w:t>
      </w:r>
    </w:p>
    <w:p>
      <w:pPr>
        <w:pBdr>
          <w:bottom w:val="single" w:color="1F3A5F" w:sz="8" w:space="2"/>
        </w:pBdr>
        <w:spacing w:after="220" w:before="60"/>
      </w:pPr>
    </w:p>
    <w:p>
      <w:pPr>
        <w:pStyle w:val="Heading1"/>
        <w:spacing w:after="180" w:before="320"/>
      </w:pPr>
      <w:r>
        <w:t xml:space="preserve">10. Non-Functional Roadmap</w:t>
      </w:r>
    </w:p>
    <w:p>
      <w:pPr>
        <w:pStyle w:val="ListParagraph"/>
        <w:numPr>
          <w:ilvl w:val="0"/>
          <w:numId w:val="2"/>
        </w:numPr>
        <w:spacing w:after="100" w:line="264"/>
      </w:pPr>
      <w:r>
        <w:rPr>
          <w:sz w:val="22"/>
          <w:szCs w:val="22"/>
        </w:rPr>
        <w:t xml:space="preserve">Security &amp; privacy: per-client tenancy isolation, encryption at rest and in transit, role-based access and full audit logging from v0.1; NDPA programme v1 at v0.5; NDPC registration at threshold; region-pinned storage options from v1.5; GCC data-residency at v3.0.</w:t>
      </w:r>
    </w:p>
    <w:p>
      <w:pPr>
        <w:pStyle w:val="ListParagraph"/>
        <w:numPr>
          <w:ilvl w:val="0"/>
          <w:numId w:val="2"/>
        </w:numPr>
        <w:spacing w:after="100" w:line="264"/>
      </w:pPr>
      <w:r>
        <w:rPr>
          <w:sz w:val="22"/>
          <w:szCs w:val="22"/>
        </w:rPr>
        <w:t xml:space="preserve">Model strategy: hosted frontier models with per-client data-isolation settings from v0.1; provider abstraction layer by v1.0; open-weight/in-country fallback formally evaluated M9–12 with a written decision memo (client-demand-driven, not ideology-driven).</w:t>
      </w:r>
    </w:p>
    <w:p>
      <w:pPr>
        <w:pStyle w:val="ListParagraph"/>
        <w:numPr>
          <w:ilvl w:val="0"/>
          <w:numId w:val="2"/>
        </w:numPr>
        <w:spacing w:after="100" w:line="264"/>
      </w:pPr>
      <w:r>
        <w:rPr>
          <w:sz w:val="22"/>
          <w:szCs w:val="22"/>
        </w:rPr>
        <w:t xml:space="preserve">OCR quality: purchased baseline at v0.1; Nigerian-scan evaluation set (50 documents) by M4 with field-level accuracy targets; tuning investment only where the eval set proves the gap.</w:t>
      </w:r>
    </w:p>
    <w:p>
      <w:pPr>
        <w:pStyle w:val="ListParagraph"/>
        <w:numPr>
          <w:ilvl w:val="0"/>
          <w:numId w:val="2"/>
        </w:numPr>
        <w:spacing w:after="100" w:line="264"/>
      </w:pPr>
      <w:r>
        <w:rPr>
          <w:sz w:val="22"/>
          <w:szCs w:val="22"/>
        </w:rPr>
        <w:t xml:space="preserve">SLAs &amp; instrumentation: autopsy 5 working days / 48h live; red-team at T-72h; on-time submission 100%; SLA dashboards by v1.0, client-visible status by v1.5, alerting by v3.5.</w:t>
      </w:r>
    </w:p>
    <w:p>
      <w:pPr>
        <w:pStyle w:val="ListParagraph"/>
        <w:numPr>
          <w:ilvl w:val="0"/>
          <w:numId w:val="2"/>
        </w:numPr>
        <w:spacing w:after="100" w:line="264"/>
      </w:pPr>
      <w:r>
        <w:rPr>
          <w:sz w:val="22"/>
          <w:szCs w:val="22"/>
        </w:rPr>
        <w:t xml:space="preserve">Cost telemetry: per-engagement model/compute cost tracked from v0.1 against the ₦15–30k unit assumption in BP §8.2; quarterly review against API pricing.</w:t>
      </w:r>
    </w:p>
    <w:p>
      <w:pPr>
        <w:pBdr>
          <w:bottom w:val="single" w:color="1F3A5F" w:sz="8" w:space="2"/>
        </w:pBdr>
        <w:spacing w:after="220" w:before="60"/>
      </w:pPr>
    </w:p>
    <w:p>
      <w:pPr>
        <w:pStyle w:val="Heading1"/>
        <w:spacing w:after="180" w:before="320"/>
      </w:pPr>
      <w:r>
        <w:t xml:space="preserve">11. Build-vs-Buy Register</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760"/>
        <w:gridCol w:w="2400"/>
        <w:gridCol w:w="4200"/>
      </w:tblGrid>
      <w:tr>
        <w:trPr>
          <w:tblHeader/>
        </w:trPr>
        <w:tc>
          <w:tcPr>
            <w:tcW w:type="dxa" w:w="27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Capability</w:t>
            </w:r>
          </w:p>
        </w:tc>
        <w:tc>
          <w:tcPr>
            <w:tcW w:type="dxa" w:w="2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Decision</w:t>
            </w:r>
          </w:p>
        </w:tc>
        <w:tc>
          <w:tcPr>
            <w:tcW w:type="dxa" w:w="42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Rationale / revisit trigger</w:t>
            </w:r>
          </w:p>
        </w:tc>
      </w:tr>
      <w:tr>
        <w:tc>
          <w:tcPr>
            <w:tcW w:type="dxa" w:w="2760"/>
            <w:tcMar>
              <w:top w:type="dxa" w:w="70"/>
              <w:left w:type="dxa" w:w="110"/>
              <w:bottom w:type="dxa" w:w="70"/>
              <w:right w:type="dxa" w:w="110"/>
            </w:tcMar>
            <w:vAlign w:val="center"/>
          </w:tcPr>
          <w:p>
            <w:pPr>
              <w:spacing w:after="0" w:line="240"/>
              <w:jc w:val="left"/>
            </w:pPr>
            <w:r>
              <w:rPr>
                <w:b/>
                <w:bCs/>
                <w:color w:val="222222"/>
                <w:sz w:val="20"/>
                <w:szCs w:val="20"/>
              </w:rPr>
              <w:t xml:space="preserve">Tender discovery &amp; monitoring feeds</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BUY (license aggregators)</w:t>
            </w:r>
          </w:p>
        </w:tc>
        <w:tc>
          <w:tcPr>
            <w:tcW w:type="dxa" w:w="42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Commoditised; BP §7. Revisit only if feed quality blocks retainer SLAs.</w:t>
            </w:r>
          </w:p>
        </w:tc>
      </w:tr>
      <w:tr>
        <w:tc>
          <w:tcPr>
            <w:tcW w:type="dxa" w:w="27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OCR baseline</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BUY, then tune</w:t>
            </w:r>
          </w:p>
        </w:tc>
        <w:tc>
          <w:tcPr>
            <w:tcW w:type="dxa" w:w="42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Speed to Gate 0; tune only where the 50-doc eval set shows material gaps.</w:t>
            </w:r>
          </w:p>
        </w:tc>
      </w:tr>
      <w:tr>
        <w:tc>
          <w:tcPr>
            <w:tcW w:type="dxa" w:w="2760"/>
            <w:tcMar>
              <w:top w:type="dxa" w:w="70"/>
              <w:left w:type="dxa" w:w="110"/>
              <w:bottom w:type="dxa" w:w="70"/>
              <w:right w:type="dxa" w:w="110"/>
            </w:tcMar>
            <w:vAlign w:val="center"/>
          </w:tcPr>
          <w:p>
            <w:pPr>
              <w:spacing w:after="0" w:line="240"/>
              <w:jc w:val="left"/>
            </w:pPr>
            <w:r>
              <w:rPr>
                <w:b/>
                <w:bCs/>
                <w:color w:val="222222"/>
                <w:sz w:val="20"/>
                <w:szCs w:val="20"/>
              </w:rPr>
              <w:t xml:space="preserve">LLM inference</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BUY (hosted APIs)</w:t>
            </w:r>
          </w:p>
        </w:tc>
        <w:tc>
          <w:tcPr>
            <w:tcW w:type="dxa" w:w="42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Frontier quality; abstraction layer + regression harness manage provider risk. Open-weight fallback per §10.</w:t>
            </w:r>
          </w:p>
        </w:tc>
      </w:tr>
      <w:tr>
        <w:tc>
          <w:tcPr>
            <w:tcW w:type="dxa" w:w="27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Document assembly pipeline</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BUILD (extend existing docx toolchain)</w:t>
            </w:r>
          </w:p>
        </w:tc>
        <w:tc>
          <w:tcPr>
            <w:tcW w:type="dxa" w:w="42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Founder's proven asset; core to the moat.</w:t>
            </w:r>
          </w:p>
        </w:tc>
      </w:tr>
      <w:tr>
        <w:tc>
          <w:tcPr>
            <w:tcW w:type="dxa" w:w="2760"/>
            <w:tcMar>
              <w:top w:type="dxa" w:w="70"/>
              <w:left w:type="dxa" w:w="110"/>
              <w:bottom w:type="dxa" w:w="70"/>
              <w:right w:type="dxa" w:w="110"/>
            </w:tcMar>
            <w:vAlign w:val="center"/>
          </w:tcPr>
          <w:p>
            <w:pPr>
              <w:spacing w:after="0" w:line="240"/>
              <w:jc w:val="left"/>
            </w:pPr>
            <w:r>
              <w:rPr>
                <w:b/>
                <w:bCs/>
                <w:color w:val="222222"/>
                <w:sz w:val="20"/>
                <w:szCs w:val="20"/>
              </w:rPr>
              <w:t xml:space="preserve">Compliance state machine, Vault, Capability Library</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BUILD</w:t>
            </w:r>
          </w:p>
        </w:tc>
        <w:tc>
          <w:tcPr>
            <w:tcW w:type="dxa" w:w="42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This is the product; no credible off-the-shelf equivalent for Nigerian artefact taxonomy.</w:t>
            </w:r>
          </w:p>
        </w:tc>
      </w:tr>
      <w:tr>
        <w:tc>
          <w:tcPr>
            <w:tcW w:type="dxa" w:w="27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CRM / pipeline tracking</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BUY-lightweight (M1: sheets; Phase 2: commercial CRM)</w:t>
            </w:r>
          </w:p>
        </w:tc>
        <w:tc>
          <w:tcPr>
            <w:tcW w:type="dxa" w:w="42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Undifferentiated; founder hours are for the engine.</w:t>
            </w:r>
          </w:p>
        </w:tc>
      </w:tr>
      <w:tr>
        <w:tc>
          <w:tcPr>
            <w:tcW w:type="dxa" w:w="2760"/>
            <w:tcMar>
              <w:top w:type="dxa" w:w="70"/>
              <w:left w:type="dxa" w:w="110"/>
              <w:bottom w:type="dxa" w:w="70"/>
              <w:right w:type="dxa" w:w="110"/>
            </w:tcMar>
            <w:vAlign w:val="center"/>
          </w:tcPr>
          <w:p>
            <w:pPr>
              <w:spacing w:after="0" w:line="240"/>
              <w:jc w:val="left"/>
            </w:pPr>
            <w:r>
              <w:rPr>
                <w:b/>
                <w:bCs/>
                <w:color w:val="222222"/>
                <w:sz w:val="20"/>
                <w:szCs w:val="20"/>
              </w:rPr>
              <w:t xml:space="preserve">Billing &amp; entitlements</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BUY components, BUILD metering</w:t>
            </w:r>
          </w:p>
        </w:tc>
        <w:tc>
          <w:tcPr>
            <w:tcW w:type="dxa" w:w="42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Fair-use metering is product logic; payment rails are not.</w:t>
            </w:r>
          </w:p>
        </w:tc>
      </w:tr>
      <w:tr>
        <w:tc>
          <w:tcPr>
            <w:tcW w:type="dxa" w:w="27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Arabic translation &amp; review (v3.0)</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BUY tooling + HIRE native reviewer</w:t>
            </w:r>
          </w:p>
        </w:tc>
        <w:tc>
          <w:tcPr>
            <w:tcW w:type="dxa" w:w="42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Quality bar is contractual; machine-only Arabic is a disqualification generator.</w:t>
            </w:r>
          </w:p>
        </w:tc>
      </w:tr>
    </w:tbl>
    <w:p>
      <w:pPr>
        <w:pBdr>
          <w:bottom w:val="single" w:color="1F3A5F" w:sz="8" w:space="2"/>
        </w:pBdr>
        <w:spacing w:after="220" w:before="60"/>
      </w:pPr>
    </w:p>
    <w:p>
      <w:pPr>
        <w:pStyle w:val="Heading1"/>
        <w:spacing w:after="180" w:before="320"/>
      </w:pPr>
      <w:r>
        <w:t xml:space="preserve">12. Explicit Non-Goals (and Their Revisit Triggers)</w:t>
      </w:r>
    </w:p>
    <w:p>
      <w:pPr>
        <w:pStyle w:val="ListParagraph"/>
        <w:numPr>
          <w:ilvl w:val="0"/>
          <w:numId w:val="2"/>
        </w:numPr>
        <w:spacing w:after="100" w:line="264"/>
      </w:pPr>
      <w:r>
        <w:rPr>
          <w:sz w:val="22"/>
          <w:szCs w:val="22"/>
        </w:rPr>
        <w:t xml:space="preserve">No tender-discovery product — the aggregators own it; Valo licenses it. Revisit: never, absent an acquisition logic.</w:t>
      </w:r>
    </w:p>
    <w:p>
      <w:pPr>
        <w:pStyle w:val="ListParagraph"/>
        <w:numPr>
          <w:ilvl w:val="0"/>
          <w:numId w:val="2"/>
        </w:numPr>
        <w:spacing w:after="100" w:line="264"/>
      </w:pPr>
      <w:r>
        <w:rPr>
          <w:sz w:val="22"/>
          <w:szCs w:val="22"/>
        </w:rPr>
        <w:t xml:space="preserve">No financial-bid or pricing-strategy product — arithmetic and format verification only, on client-supplied figures. Revisit: per-client, with explicit conflict walls, Phase 3 at the earliest.</w:t>
      </w:r>
    </w:p>
    <w:p>
      <w:pPr>
        <w:pStyle w:val="ListParagraph"/>
        <w:numPr>
          <w:ilvl w:val="0"/>
          <w:numId w:val="2"/>
        </w:numPr>
        <w:spacing w:after="100" w:line="264"/>
      </w:pPr>
      <w:r>
        <w:rPr>
          <w:sz w:val="22"/>
          <w:szCs w:val="22"/>
        </w:rPr>
        <w:t xml:space="preserve">No e-submission portal integration — federal submission remains document-based; NOCOPO is disclosure-only. Revisit trigger: any federal portal becoming genuinely transactional.</w:t>
      </w:r>
    </w:p>
    <w:p>
      <w:pPr>
        <w:pStyle w:val="ListParagraph"/>
        <w:numPr>
          <w:ilvl w:val="0"/>
          <w:numId w:val="2"/>
        </w:numPr>
        <w:spacing w:after="100" w:line="264"/>
      </w:pPr>
      <w:r>
        <w:rPr>
          <w:sz w:val="22"/>
          <w:szCs w:val="22"/>
        </w:rPr>
        <w:t xml:space="preserve">No generic proposal tool for private B2B sales — the moat is regulated-tender compliance, not prose. Revisit: only as a channel-partner request with committed volume.</w:t>
      </w:r>
    </w:p>
    <w:p>
      <w:pPr>
        <w:pStyle w:val="ListParagraph"/>
        <w:numPr>
          <w:ilvl w:val="0"/>
          <w:numId w:val="2"/>
        </w:numPr>
        <w:spacing w:after="100" w:line="264"/>
      </w:pPr>
      <w:r>
        <w:rPr>
          <w:sz w:val="22"/>
          <w:szCs w:val="22"/>
        </w:rPr>
        <w:t xml:space="preserve">No win-probability score as a sold feature — internal calibration only; selling predictions invites the win-guarantee positioning the plan forbids.</w:t>
      </w:r>
    </w:p>
    <w:p>
      <w:pPr>
        <w:pStyle w:val="ListParagraph"/>
        <w:numPr>
          <w:ilvl w:val="0"/>
          <w:numId w:val="2"/>
        </w:numPr>
        <w:spacing w:after="100" w:line="264"/>
      </w:pPr>
      <w:r>
        <w:rPr>
          <w:sz w:val="22"/>
          <w:szCs w:val="22"/>
        </w:rPr>
        <w:t xml:space="preserve">No mobile app — WhatsApp is the mobile surface this market already lives in.</w:t>
      </w:r>
    </w:p>
    <w:p>
      <w:pPr>
        <w:pStyle w:val="ListParagraph"/>
        <w:numPr>
          <w:ilvl w:val="0"/>
          <w:numId w:val="2"/>
        </w:numPr>
        <w:spacing w:after="100" w:line="264"/>
      </w:pPr>
      <w:r>
        <w:rPr>
          <w:sz w:val="22"/>
          <w:szCs w:val="22"/>
        </w:rPr>
        <w:t xml:space="preserve">No consultant marketplace — Valo arms consultancies white-label; brokering them is a different, conflict-laden business.</w:t>
      </w:r>
    </w:p>
    <w:p>
      <w:pPr>
        <w:pBdr>
          <w:bottom w:val="single" w:color="1F3A5F" w:sz="8" w:space="2"/>
        </w:pBdr>
        <w:spacing w:after="220" w:before="60"/>
      </w:pPr>
    </w:p>
    <w:p>
      <w:pPr>
        <w:pStyle w:val="Heading1"/>
        <w:spacing w:after="180" w:before="320"/>
      </w:pPr>
      <w:r>
        <w:t xml:space="preserve">13. Product Risks &amp; Dependencies</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760"/>
        <w:gridCol w:w="2400"/>
        <w:gridCol w:w="4200"/>
      </w:tblGrid>
      <w:tr>
        <w:trPr>
          <w:tblHeader/>
        </w:trPr>
        <w:tc>
          <w:tcPr>
            <w:tcW w:type="dxa" w:w="27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Risk / dependency</w:t>
            </w:r>
          </w:p>
        </w:tc>
        <w:tc>
          <w:tcPr>
            <w:tcW w:type="dxa" w:w="2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Impact</w:t>
            </w:r>
          </w:p>
        </w:tc>
        <w:tc>
          <w:tcPr>
            <w:tcW w:type="dxa" w:w="42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Mitigation</w:t>
            </w:r>
          </w:p>
        </w:tc>
      </w:tr>
      <w:tr>
        <w:tc>
          <w:tcPr>
            <w:tcW w:type="dxa" w:w="2760"/>
            <w:tcMar>
              <w:top w:type="dxa" w:w="70"/>
              <w:left w:type="dxa" w:w="110"/>
              <w:bottom w:type="dxa" w:w="70"/>
              <w:right w:type="dxa" w:w="110"/>
            </w:tcMar>
            <w:vAlign w:val="center"/>
          </w:tcPr>
          <w:p>
            <w:pPr>
              <w:spacing w:after="0" w:line="240"/>
              <w:jc w:val="left"/>
            </w:pPr>
            <w:r>
              <w:rPr>
                <w:b/>
                <w:bCs/>
                <w:color w:val="222222"/>
                <w:sz w:val="20"/>
                <w:szCs w:val="20"/>
              </w:rPr>
              <w:t xml:space="preserve">BPP revises SBD templates mid-stream</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Extraction/assembly presets go stale</w:t>
            </w:r>
          </w:p>
        </w:tc>
        <w:tc>
          <w:tcPr>
            <w:tcW w:type="dxa" w:w="42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Versioned template corpus; circular watch as a standing ops task; validation harness catches drift</w:t>
            </w:r>
          </w:p>
        </w:tc>
      </w:tr>
      <w:tr>
        <w:tc>
          <w:tcPr>
            <w:tcW w:type="dxa" w:w="27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Model API pricing or behaviour shifts</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Unit-cost and quality drift</w:t>
            </w:r>
          </w:p>
        </w:tc>
        <w:tc>
          <w:tcPr>
            <w:tcW w:type="dxa" w:w="42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Provider abstraction layer; eval harness as regression suite; per-engagement cost telemetry with quarterly review</w:t>
            </w:r>
          </w:p>
        </w:tc>
      </w:tr>
      <w:tr>
        <w:tc>
          <w:tcPr>
            <w:tcW w:type="dxa" w:w="2760"/>
            <w:tcMar>
              <w:top w:type="dxa" w:w="70"/>
              <w:left w:type="dxa" w:w="110"/>
              <w:bottom w:type="dxa" w:w="70"/>
              <w:right w:type="dxa" w:w="110"/>
            </w:tcMar>
            <w:vAlign w:val="center"/>
          </w:tcPr>
          <w:p>
            <w:pPr>
              <w:spacing w:after="0" w:line="240"/>
              <w:jc w:val="left"/>
            </w:pPr>
            <w:r>
              <w:rPr>
                <w:b/>
                <w:bCs/>
                <w:color w:val="222222"/>
                <w:sz w:val="20"/>
                <w:szCs w:val="20"/>
              </w:rPr>
              <w:t xml:space="preserve">Scanned-document quality worse than assumed</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Recall targets slip; SLA pressure</w:t>
            </w:r>
          </w:p>
        </w:tc>
        <w:tc>
          <w:tcPr>
            <w:tcW w:type="dxa" w:w="42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Human-in-loop stays until the eval set proves otherwise; intake kit pushes clients toward digital originals</w:t>
            </w:r>
          </w:p>
        </w:tc>
      </w:tr>
      <w:tr>
        <w:tc>
          <w:tcPr>
            <w:tcW w:type="dxa" w:w="27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Client data-ingestion friction</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Autopsy funnel stalls at intake</w:t>
            </w:r>
          </w:p>
        </w:tc>
        <w:tc>
          <w:tcPr>
            <w:tcW w:type="dxa" w:w="42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NDA-first intake kit in v0.1; redaction accepted; advisor handles physical-archive collection in Abuja</w:t>
            </w:r>
          </w:p>
        </w:tc>
      </w:tr>
      <w:tr>
        <w:tc>
          <w:tcPr>
            <w:tcW w:type="dxa" w:w="2760"/>
            <w:tcMar>
              <w:top w:type="dxa" w:w="70"/>
              <w:left w:type="dxa" w:w="110"/>
              <w:bottom w:type="dxa" w:w="70"/>
              <w:right w:type="dxa" w:w="110"/>
            </w:tcMar>
            <w:vAlign w:val="center"/>
          </w:tcPr>
          <w:p>
            <w:pPr>
              <w:spacing w:after="0" w:line="240"/>
              <w:jc w:val="left"/>
            </w:pPr>
            <w:r>
              <w:rPr>
                <w:b/>
                <w:bCs/>
                <w:color w:val="222222"/>
                <w:sz w:val="20"/>
                <w:szCs w:val="20"/>
              </w:rPr>
              <w:t xml:space="preserve">Automation graduated too early</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 missed requirement reaches a client</w:t>
            </w:r>
          </w:p>
        </w:tc>
        <w:tc>
          <w:tcPr>
            <w:tcW w:type="dxa" w:w="42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Component-by-component graduation gated on eval evidence; fatal-block rule; PI insurance from Phase 1</w:t>
            </w:r>
          </w:p>
        </w:tc>
      </w:tr>
      <w:tr>
        <w:tc>
          <w:tcPr>
            <w:tcW w:type="dxa" w:w="27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Contract engineer quality (Phase 2)</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Portal slips; founder hours blow the box</w:t>
            </w:r>
          </w:p>
        </w:tc>
        <w:tc>
          <w:tcPr>
            <w:tcW w:type="dxa" w:w="42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Hire against runbooks and harness; 90-day probation; v2.0 calendar protected by cutting scope, not by adding founder hours</w:t>
            </w:r>
          </w:p>
        </w:tc>
      </w:tr>
      <w:tr>
        <w:tc>
          <w:tcPr>
            <w:tcW w:type="dxa" w:w="2760"/>
            <w:tcMar>
              <w:top w:type="dxa" w:w="70"/>
              <w:left w:type="dxa" w:w="110"/>
              <w:bottom w:type="dxa" w:w="70"/>
              <w:right w:type="dxa" w:w="110"/>
            </w:tcMar>
            <w:vAlign w:val="center"/>
          </w:tcPr>
          <w:p>
            <w:pPr>
              <w:spacing w:after="0" w:line="240"/>
              <w:jc w:val="left"/>
            </w:pPr>
            <w:r>
              <w:rPr>
                <w:b/>
                <w:bCs/>
                <w:color w:val="222222"/>
                <w:sz w:val="20"/>
                <w:szCs w:val="20"/>
              </w:rPr>
              <w:t xml:space="preserve">Arabic pipeline quality (v3.0)</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GCC packages risk rejection</w:t>
            </w:r>
          </w:p>
        </w:tc>
        <w:tc>
          <w:tcPr>
            <w:tcW w:type="dxa" w:w="42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Native reviewer as hiring precondition; bilingual eval set before first paid GCC engagement</w:t>
            </w:r>
          </w:p>
        </w:tc>
      </w:tr>
      <w:tr>
        <w:tc>
          <w:tcPr>
            <w:tcW w:type="dxa" w:w="27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Aggregator feed gaps</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Retainer monitoring misses tenders</w:t>
            </w:r>
          </w:p>
        </w:tc>
        <w:tc>
          <w:tcPr>
            <w:tcW w:type="dxa" w:w="42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Dual-source feeds; client-reported tenders logged as feed-gap telemetry; escalate to build only on evidence</w:t>
            </w:r>
          </w:p>
        </w:tc>
      </w:tr>
    </w:tbl>
    <w:p>
      <w:pPr>
        <w:pBdr>
          <w:bottom w:val="single" w:color="1F3A5F" w:sz="8" w:space="2"/>
        </w:pBdr>
        <w:spacing w:after="220" w:before="60"/>
      </w:pPr>
    </w:p>
    <w:p>
      <w:pPr>
        <w:pStyle w:val="Heading1"/>
        <w:spacing w:after="180" w:before="320"/>
      </w:pPr>
      <w:r>
        <w:t xml:space="preserve">14. Capacity Plan &amp; Founder-Hour Budget</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1500"/>
        <w:gridCol w:w="2400"/>
        <w:gridCol w:w="3060"/>
        <w:gridCol w:w="2400"/>
      </w:tblGrid>
      <w:tr>
        <w:trPr>
          <w:tblHeader/>
        </w:trPr>
        <w:tc>
          <w:tcPr>
            <w:tcW w:type="dxa" w:w="15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Release</w:t>
            </w:r>
          </w:p>
        </w:tc>
        <w:tc>
          <w:tcPr>
            <w:tcW w:type="dxa" w:w="2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Founder hours (budget)</w:t>
            </w:r>
          </w:p>
        </w:tc>
        <w:tc>
          <w:tcPr>
            <w:tcW w:type="dxa" w:w="30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Other capacity</w:t>
            </w:r>
          </w:p>
        </w:tc>
        <w:tc>
          <w:tcPr>
            <w:tcW w:type="dxa" w:w="2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Tripwire</w:t>
            </w:r>
          </w:p>
        </w:tc>
      </w:tr>
      <w:tr>
        <w:tc>
          <w:tcPr>
            <w:tcW w:type="dxa" w:w="1500"/>
            <w:tcMar>
              <w:top w:type="dxa" w:w="70"/>
              <w:left w:type="dxa" w:w="110"/>
              <w:bottom w:type="dxa" w:w="70"/>
              <w:right w:type="dxa" w:w="110"/>
            </w:tcMar>
            <w:vAlign w:val="center"/>
          </w:tcPr>
          <w:p>
            <w:pPr>
              <w:spacing w:after="0" w:line="240"/>
              <w:jc w:val="left"/>
            </w:pPr>
            <w:r>
              <w:rPr>
                <w:b/>
                <w:bCs/>
                <w:color w:val="222222"/>
                <w:sz w:val="20"/>
                <w:szCs w:val="20"/>
              </w:rPr>
              <w:t xml:space="preserve">v0.1</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140 build + ~40 delivery</w:t>
            </w:r>
          </w:p>
        </w:tc>
        <w:tc>
          <w:tcPr>
            <w:tcW w:type="dxa" w:w="30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Advisor QA (part-time)</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4 weeks build — hard pause per BP §10</w:t>
            </w:r>
          </w:p>
        </w:tc>
      </w:tr>
      <w:tr>
        <w:tc>
          <w:tcPr>
            <w:tcW w:type="dxa" w:w="15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v0.5</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120</w:t>
            </w:r>
          </w:p>
        </w:tc>
        <w:tc>
          <w:tcPr>
            <w:tcW w:type="dxa" w:w="30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Analyst onboards M4 (part-time)</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Cumulative Phase 0–1 cap 450h</w:t>
            </w:r>
          </w:p>
        </w:tc>
      </w:tr>
      <w:tr>
        <w:tc>
          <w:tcPr>
            <w:tcW w:type="dxa" w:w="1500"/>
            <w:tcMar>
              <w:top w:type="dxa" w:w="70"/>
              <w:left w:type="dxa" w:w="110"/>
              <w:bottom w:type="dxa" w:w="70"/>
              <w:right w:type="dxa" w:w="110"/>
            </w:tcMar>
            <w:vAlign w:val="center"/>
          </w:tcPr>
          <w:p>
            <w:pPr>
              <w:spacing w:after="0" w:line="240"/>
              <w:jc w:val="left"/>
            </w:pPr>
            <w:r>
              <w:rPr>
                <w:b/>
                <w:bCs/>
                <w:color w:val="222222"/>
                <w:sz w:val="20"/>
                <w:szCs w:val="20"/>
              </w:rPr>
              <w:t xml:space="preserve">v1.0</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150</w:t>
            </w:r>
          </w:p>
        </w:tc>
        <w:tc>
          <w:tcPr>
            <w:tcW w:type="dxa" w:w="30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Analyst full-time M7; advisor QA regime</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Cumulative cap 450h; DoD includes runbooks</w:t>
            </w:r>
          </w:p>
        </w:tc>
      </w:tr>
      <w:tr>
        <w:tc>
          <w:tcPr>
            <w:tcW w:type="dxa" w:w="15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v1.5</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120 (oversight-weighted)</w:t>
            </w:r>
          </w:p>
        </w:tc>
        <w:tc>
          <w:tcPr>
            <w:tcW w:type="dxa" w:w="30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Contract engineer onboards (revenue-triggered)</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Founder hands-on coding tapers by design</w:t>
            </w:r>
          </w:p>
        </w:tc>
      </w:tr>
      <w:tr>
        <w:tc>
          <w:tcPr>
            <w:tcW w:type="dxa" w:w="1500"/>
            <w:tcMar>
              <w:top w:type="dxa" w:w="70"/>
              <w:left w:type="dxa" w:w="110"/>
              <w:bottom w:type="dxa" w:w="70"/>
              <w:right w:type="dxa" w:w="110"/>
            </w:tcMar>
            <w:vAlign w:val="center"/>
          </w:tcPr>
          <w:p>
            <w:pPr>
              <w:spacing w:after="0" w:line="240"/>
              <w:jc w:val="left"/>
            </w:pPr>
            <w:r>
              <w:rPr>
                <w:b/>
                <w:bCs/>
                <w:color w:val="222222"/>
                <w:sz w:val="20"/>
                <w:szCs w:val="20"/>
              </w:rPr>
              <w:t xml:space="preserve">v2.0</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80 oversight</w:t>
            </w:r>
          </w:p>
        </w:tc>
        <w:tc>
          <w:tcPr>
            <w:tcW w:type="dxa" w:w="30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Contract engineer 3–4 months; analyst ops</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v2.0 calendar protected: cut scope, never add founder hours</w:t>
            </w:r>
          </w:p>
        </w:tc>
      </w:tr>
      <w:tr>
        <w:tc>
          <w:tcPr>
            <w:tcW w:type="dxa" w:w="15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v2.5</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60</w:t>
            </w:r>
          </w:p>
        </w:tc>
        <w:tc>
          <w:tcPr>
            <w:tcW w:type="dxa" w:w="30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Second analyst (revenue-triggered); partner enablement</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Channel enablement must not cannibalise direct SLAs</w:t>
            </w:r>
          </w:p>
        </w:tc>
      </w:tr>
      <w:tr>
        <w:tc>
          <w:tcPr>
            <w:tcW w:type="dxa" w:w="1500"/>
            <w:tcMar>
              <w:top w:type="dxa" w:w="70"/>
              <w:left w:type="dxa" w:w="110"/>
              <w:bottom w:type="dxa" w:w="70"/>
              <w:right w:type="dxa" w:w="110"/>
            </w:tcMar>
            <w:vAlign w:val="center"/>
          </w:tcPr>
          <w:p>
            <w:pPr>
              <w:spacing w:after="0" w:line="240"/>
              <w:jc w:val="left"/>
            </w:pPr>
            <w:r>
              <w:rPr>
                <w:b/>
                <w:bCs/>
                <w:color w:val="222222"/>
                <w:sz w:val="20"/>
                <w:szCs w:val="20"/>
              </w:rPr>
              <w:t xml:space="preserve">v3.0</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100 + Doha discovery time</w:t>
            </w:r>
          </w:p>
        </w:tc>
        <w:tc>
          <w:tcPr>
            <w:tcW w:type="dxa" w:w="30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Native-Arabic reviewer hire precondition</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No paid GCC work before bilingual eval set passes</w:t>
            </w:r>
          </w:p>
        </w:tc>
      </w:tr>
      <w:tr>
        <w:tc>
          <w:tcPr>
            <w:tcW w:type="dxa" w:w="15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v3.5</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Steady-state ≤ 8h/week</w:t>
            </w:r>
          </w:p>
        </w:tc>
        <w:tc>
          <w:tcPr>
            <w:tcW w:type="dxa" w:w="30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Engineering per Y3 plan</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Founder attention is a monitored KPI, not a slack variable</w:t>
            </w:r>
          </w:p>
        </w:tc>
      </w:tr>
    </w:tbl>
    <w:p>
      <w:pPr>
        <w:spacing w:after="120"/>
      </w:pPr>
    </w:p>
    <w:p>
      <w:pPr>
        <w:spacing w:after="160" w:before="0" w:line="276"/>
        <w:jc w:val="both"/>
      </w:pPr>
      <w:r>
        <w:rPr>
          <w:b w:val="false"/>
          <w:bCs w:val="false"/>
          <w:i w:val="false"/>
          <w:iCs w:val="false"/>
          <w:color w:val="222222"/>
          <w:sz w:val="22"/>
          <w:szCs w:val="22"/>
        </w:rPr>
        <w:t xml:space="preserve">The budget encodes the plan's honest cost: founder opportunity cost. Every release's Definition of Done includes staying inside its box; a breach is a governance event, not a footnote.</w:t>
      </w:r>
    </w:p>
    <w:p>
      <w:pPr>
        <w:pBdr>
          <w:bottom w:val="single" w:color="1F3A5F" w:sz="8" w:space="2"/>
        </w:pBdr>
        <w:spacing w:after="220" w:before="60"/>
      </w:pPr>
    </w:p>
    <w:p>
      <w:pPr>
        <w:pStyle w:val="Heading1"/>
        <w:spacing w:after="180" w:before="320"/>
      </w:pPr>
      <w:r>
        <w:t xml:space="preserve">15. Roadmap Governance</w:t>
      </w:r>
    </w:p>
    <w:p>
      <w:pPr>
        <w:pStyle w:val="ListParagraph"/>
        <w:numPr>
          <w:ilvl w:val="0"/>
          <w:numId w:val="2"/>
        </w:numPr>
        <w:spacing w:after="100" w:line="264"/>
      </w:pPr>
      <w:r>
        <w:rPr>
          <w:sz w:val="22"/>
          <w:szCs w:val="22"/>
        </w:rPr>
        <w:t xml:space="preserve">Cadence: reviewed at the monthly founder memo; re-baselined only at quarterly gate reviews; re-derived annually alongside the business plan.</w:t>
      </w:r>
    </w:p>
    <w:p>
      <w:pPr>
        <w:pStyle w:val="ListParagraph"/>
        <w:numPr>
          <w:ilvl w:val="0"/>
          <w:numId w:val="2"/>
        </w:numPr>
        <w:spacing w:after="100" w:line="264"/>
      </w:pPr>
      <w:r>
        <w:rPr>
          <w:sz w:val="22"/>
          <w:szCs w:val="22"/>
        </w:rPr>
        <w:t xml:space="preserve">Zero-sum rule: any scope addition names what it displaces, in writing, in the memo.</w:t>
      </w:r>
    </w:p>
    <w:p>
      <w:pPr>
        <w:pStyle w:val="ListParagraph"/>
        <w:numPr>
          <w:ilvl w:val="0"/>
          <w:numId w:val="2"/>
        </w:numPr>
        <w:spacing w:after="100" w:line="264"/>
      </w:pPr>
      <w:r>
        <w:rPr>
          <w:sz w:val="22"/>
          <w:szCs w:val="22"/>
        </w:rPr>
        <w:t xml:space="preserve">Gate supremacy: kill conditions in BP §10.3 halt builds immediately; there is no 'finish the sprint' exception.</w:t>
      </w:r>
    </w:p>
    <w:p>
      <w:pPr>
        <w:pStyle w:val="ListParagraph"/>
        <w:numPr>
          <w:ilvl w:val="0"/>
          <w:numId w:val="2"/>
        </w:numPr>
        <w:spacing w:after="100" w:line="264"/>
      </w:pPr>
      <w:r>
        <w:rPr>
          <w:sz w:val="22"/>
          <w:szCs w:val="22"/>
        </w:rPr>
        <w:t xml:space="preserve">Probability hygiene: each gate review re-states the founder's written probabilities (BP §1.5) so drift is visible.</w:t>
      </w:r>
    </w:p>
    <w:p>
      <w:pPr>
        <w:pStyle w:val="ListParagraph"/>
        <w:numPr>
          <w:ilvl w:val="0"/>
          <w:numId w:val="2"/>
        </w:numPr>
        <w:spacing w:after="100" w:line="264"/>
      </w:pPr>
      <w:r>
        <w:rPr>
          <w:sz w:val="22"/>
          <w:szCs w:val="22"/>
        </w:rPr>
        <w:t xml:space="preserve">Versioning: this roadmap is versioned in lockstep with the business plan (v1.0 ↔ BP v1.1); material divergence between the two is itself a defect to be fixed in the next memo.</w:t>
      </w:r>
    </w:p>
    <w:p>
      <w:pPr>
        <w:spacing w:after="120"/>
      </w:pPr>
    </w:p>
    <w:p>
      <w:pPr>
        <w:pBdr>
          <w:bottom w:val="single" w:color="1F3A5F" w:sz="8" w:space="2"/>
        </w:pBdr>
        <w:spacing w:after="220" w:before="60"/>
      </w:pPr>
    </w:p>
    <w:p>
      <w:pPr>
        <w:spacing w:after="160" w:before="0" w:line="276"/>
        <w:jc w:val="both"/>
      </w:pPr>
      <w:r>
        <w:rPr>
          <w:b w:val="false"/>
          <w:bCs w:val="false"/>
          <w:i/>
          <w:iCs/>
          <w:color w:val="222222"/>
          <w:sz w:val="22"/>
          <w:szCs w:val="22"/>
        </w:rPr>
        <w:t xml:space="preserve">Next documents in the suite: Valo Financial Model v0.1 (Excel, including the founder-replacement crossover tab) and the Gate 0 field kit (interview script, NDA pack, intake checklist).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Valo · July 2026 ·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F" w:sz="4" w:space="2"/>
      </w:pBdr>
      <w:spacing w:after="60"/>
      <w:jc w:val="right"/>
    </w:pPr>
    <w:r>
      <w:rPr>
        <w:color w:val="777777"/>
        <w:sz w:val="16"/>
        <w:szCs w:val="16"/>
      </w:rPr>
      <w:t xml:space="preserve">VALO — Product Roadmap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 — Product Roadmap v1.0</dc:title>
  <dc:creator>Obeid Peter-Azeez</dc:creator>
  <dc:description>Build sequence for the Valo bid-production and disqualification-defense engine</dc:description>
  <cp:lastModifiedBy>Un-named</cp:lastModifiedBy>
  <cp:revision>1</cp:revision>
  <dcterms:created xsi:type="dcterms:W3CDTF">2026-07-04T23:51:28.830Z</dcterms:created>
  <dcterms:modified xsi:type="dcterms:W3CDTF">2026-07-04T23:51:28.842Z</dcterms:modified>
</cp:coreProperties>
</file>

<file path=docProps/custom.xml><?xml version="1.0" encoding="utf-8"?>
<Properties xmlns="http://schemas.openxmlformats.org/officeDocument/2006/custom-properties" xmlns:vt="http://schemas.openxmlformats.org/officeDocument/2006/docPropsVTypes"/>
</file>